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16D4" w14:textId="77777777" w:rsidR="0062475E" w:rsidRPr="00846DCD" w:rsidRDefault="0062475E" w:rsidP="0062475E">
      <w:pPr>
        <w:pStyle w:val="Geenafstand"/>
        <w:jc w:val="center"/>
        <w:rPr>
          <w:b/>
          <w:sz w:val="28"/>
          <w:szCs w:val="28"/>
        </w:rPr>
      </w:pPr>
      <w:r w:rsidRPr="00846DCD">
        <w:rPr>
          <w:b/>
          <w:sz w:val="28"/>
          <w:szCs w:val="28"/>
        </w:rPr>
        <w:t>Emissie inventaris rapport</w:t>
      </w:r>
    </w:p>
    <w:p w14:paraId="4BBF75E4" w14:textId="77777777" w:rsidR="0062475E" w:rsidRDefault="0062475E" w:rsidP="0062475E">
      <w:pPr>
        <w:pStyle w:val="Geenafstand"/>
        <w:rPr>
          <w:b/>
        </w:rPr>
      </w:pPr>
    </w:p>
    <w:p w14:paraId="0B1A927C" w14:textId="77777777" w:rsidR="0062475E" w:rsidRDefault="0062475E" w:rsidP="0062475E">
      <w:pPr>
        <w:pStyle w:val="Geenafstand"/>
        <w:rPr>
          <w:b/>
        </w:rPr>
      </w:pPr>
    </w:p>
    <w:p w14:paraId="15724CAE" w14:textId="77777777" w:rsidR="0062475E" w:rsidRDefault="0062475E" w:rsidP="0062475E">
      <w:pPr>
        <w:pStyle w:val="Geenafstand"/>
        <w:rPr>
          <w:b/>
        </w:rPr>
      </w:pPr>
    </w:p>
    <w:p w14:paraId="5CF47A70" w14:textId="77777777" w:rsidR="0062475E" w:rsidRDefault="0062475E" w:rsidP="0062475E">
      <w:pPr>
        <w:pStyle w:val="Geenafstand"/>
        <w:rPr>
          <w:b/>
        </w:rPr>
      </w:pPr>
      <w:r>
        <w:rPr>
          <w:noProof/>
        </w:rPr>
        <w:drawing>
          <wp:anchor distT="0" distB="0" distL="114300" distR="114300" simplePos="0" relativeHeight="251658240" behindDoc="1" locked="0" layoutInCell="1" allowOverlap="1" wp14:anchorId="6C997E2E" wp14:editId="578A94A9">
            <wp:simplePos x="0" y="0"/>
            <wp:positionH relativeFrom="column">
              <wp:posOffset>309880</wp:posOffset>
            </wp:positionH>
            <wp:positionV relativeFrom="paragraph">
              <wp:posOffset>12700</wp:posOffset>
            </wp:positionV>
            <wp:extent cx="5198745" cy="3466976"/>
            <wp:effectExtent l="0" t="0" r="1905" b="635"/>
            <wp:wrapNone/>
            <wp:docPr id="2" name="Afbeelding 2" descr="Afbeelding met buiten, water, natuur, vijv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uiten, water, natuur, vijver&#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8745" cy="3466976"/>
                    </a:xfrm>
                    <a:prstGeom prst="rect">
                      <a:avLst/>
                    </a:prstGeom>
                    <a:noFill/>
                    <a:ln>
                      <a:noFill/>
                    </a:ln>
                  </pic:spPr>
                </pic:pic>
              </a:graphicData>
            </a:graphic>
          </wp:anchor>
        </w:drawing>
      </w:r>
    </w:p>
    <w:p w14:paraId="2A0A029D" w14:textId="77777777" w:rsidR="0062475E" w:rsidRDefault="0062475E" w:rsidP="0062475E">
      <w:pPr>
        <w:pStyle w:val="Geenafstand"/>
        <w:rPr>
          <w:b/>
        </w:rPr>
      </w:pPr>
    </w:p>
    <w:p w14:paraId="5D131866" w14:textId="77777777" w:rsidR="0062475E" w:rsidRDefault="0062475E" w:rsidP="0062475E">
      <w:pPr>
        <w:pStyle w:val="Geenafstand"/>
        <w:rPr>
          <w:b/>
        </w:rPr>
      </w:pPr>
    </w:p>
    <w:p w14:paraId="409BF951" w14:textId="77777777" w:rsidR="0062475E" w:rsidRDefault="0062475E" w:rsidP="0062475E">
      <w:pPr>
        <w:pStyle w:val="Geenafstand"/>
        <w:rPr>
          <w:b/>
        </w:rPr>
      </w:pPr>
    </w:p>
    <w:p w14:paraId="3AB8605C" w14:textId="77777777" w:rsidR="0062475E" w:rsidRDefault="0062475E" w:rsidP="0062475E">
      <w:pPr>
        <w:pStyle w:val="Geenafstand"/>
        <w:rPr>
          <w:b/>
        </w:rPr>
      </w:pPr>
    </w:p>
    <w:p w14:paraId="4E556B49" w14:textId="77777777" w:rsidR="0062475E" w:rsidRDefault="0062475E" w:rsidP="0062475E">
      <w:pPr>
        <w:pStyle w:val="Geenafstand"/>
        <w:rPr>
          <w:b/>
        </w:rPr>
      </w:pPr>
    </w:p>
    <w:p w14:paraId="3E019C65" w14:textId="77777777" w:rsidR="0062475E" w:rsidRDefault="0062475E" w:rsidP="0062475E">
      <w:pPr>
        <w:pStyle w:val="Geenafstand"/>
        <w:rPr>
          <w:b/>
        </w:rPr>
      </w:pPr>
    </w:p>
    <w:p w14:paraId="5ED9B677" w14:textId="77777777" w:rsidR="0062475E" w:rsidRDefault="0062475E" w:rsidP="0062475E">
      <w:pPr>
        <w:pStyle w:val="Geenafstand"/>
        <w:rPr>
          <w:b/>
        </w:rPr>
      </w:pPr>
    </w:p>
    <w:p w14:paraId="6139E306" w14:textId="77777777" w:rsidR="0062475E" w:rsidRDefault="0062475E" w:rsidP="0062475E">
      <w:pPr>
        <w:pStyle w:val="Geenafstand"/>
        <w:rPr>
          <w:b/>
        </w:rPr>
      </w:pPr>
    </w:p>
    <w:p w14:paraId="04C73753" w14:textId="77777777" w:rsidR="0062475E" w:rsidRDefault="0062475E" w:rsidP="0062475E">
      <w:pPr>
        <w:pStyle w:val="Geenafstand"/>
        <w:rPr>
          <w:b/>
        </w:rPr>
      </w:pPr>
    </w:p>
    <w:p w14:paraId="69A20BF8" w14:textId="77777777" w:rsidR="0062475E" w:rsidRDefault="0062475E" w:rsidP="0062475E">
      <w:pPr>
        <w:pStyle w:val="Geenafstand"/>
        <w:rPr>
          <w:b/>
        </w:rPr>
      </w:pPr>
    </w:p>
    <w:p w14:paraId="08B2185E" w14:textId="77777777" w:rsidR="0062475E" w:rsidRDefault="0062475E" w:rsidP="0062475E">
      <w:pPr>
        <w:pStyle w:val="Geenafstand"/>
        <w:rPr>
          <w:b/>
        </w:rPr>
      </w:pPr>
    </w:p>
    <w:p w14:paraId="335D7783" w14:textId="77777777" w:rsidR="0062475E" w:rsidRDefault="0062475E" w:rsidP="0062475E">
      <w:pPr>
        <w:pStyle w:val="Geenafstand"/>
        <w:rPr>
          <w:b/>
        </w:rPr>
      </w:pPr>
    </w:p>
    <w:p w14:paraId="23BE9A42" w14:textId="77777777" w:rsidR="0062475E" w:rsidRDefault="0062475E" w:rsidP="0062475E">
      <w:pPr>
        <w:pStyle w:val="Geenafstand"/>
        <w:rPr>
          <w:b/>
        </w:rPr>
      </w:pPr>
    </w:p>
    <w:p w14:paraId="62309C42" w14:textId="77777777" w:rsidR="0062475E" w:rsidRDefault="0062475E" w:rsidP="0062475E">
      <w:pPr>
        <w:pStyle w:val="Geenafstand"/>
        <w:rPr>
          <w:b/>
        </w:rPr>
      </w:pPr>
    </w:p>
    <w:p w14:paraId="7DE77859" w14:textId="77777777" w:rsidR="0062475E" w:rsidRDefault="0062475E" w:rsidP="0062475E">
      <w:pPr>
        <w:pStyle w:val="Geenafstand"/>
        <w:rPr>
          <w:b/>
        </w:rPr>
      </w:pPr>
    </w:p>
    <w:p w14:paraId="3400EF82" w14:textId="77777777" w:rsidR="0062475E" w:rsidRDefault="0062475E" w:rsidP="0062475E">
      <w:pPr>
        <w:pStyle w:val="Geenafstand"/>
        <w:rPr>
          <w:b/>
        </w:rPr>
      </w:pPr>
    </w:p>
    <w:p w14:paraId="22F12DC3" w14:textId="77777777" w:rsidR="0062475E" w:rsidRDefault="0062475E" w:rsidP="0062475E">
      <w:pPr>
        <w:pStyle w:val="Geenafstand"/>
        <w:rPr>
          <w:b/>
        </w:rPr>
      </w:pPr>
    </w:p>
    <w:p w14:paraId="19755C06" w14:textId="77777777" w:rsidR="0062475E" w:rsidRDefault="0062475E" w:rsidP="0062475E">
      <w:pPr>
        <w:pStyle w:val="Geenafstand"/>
        <w:rPr>
          <w:b/>
        </w:rPr>
      </w:pPr>
    </w:p>
    <w:p w14:paraId="4657FEE9" w14:textId="77777777" w:rsidR="0062475E" w:rsidRDefault="0062475E" w:rsidP="0062475E">
      <w:pPr>
        <w:pStyle w:val="Geenafstand"/>
        <w:rPr>
          <w:b/>
        </w:rPr>
      </w:pPr>
    </w:p>
    <w:sdt>
      <w:sdtPr>
        <w:rPr>
          <w:rFonts w:ascii="Calibri" w:eastAsiaTheme="minorHAnsi" w:hAnsi="Calibri" w:cstheme="minorBidi"/>
          <w:color w:val="0B3B60"/>
          <w:sz w:val="22"/>
          <w:szCs w:val="22"/>
          <w:lang w:eastAsia="en-US"/>
        </w:rPr>
        <w:id w:val="-1012073116"/>
        <w:docPartObj>
          <w:docPartGallery w:val="Table of Contents"/>
          <w:docPartUnique/>
        </w:docPartObj>
      </w:sdtPr>
      <w:sdtEndPr>
        <w:rPr>
          <w:b/>
          <w:bCs/>
        </w:rPr>
      </w:sdtEndPr>
      <w:sdtContent>
        <w:p w14:paraId="38DB1B58" w14:textId="77777777" w:rsidR="0062475E" w:rsidRPr="002D4004" w:rsidRDefault="0062475E" w:rsidP="0062475E">
          <w:pPr>
            <w:pStyle w:val="Kopvaninhoudsopgave"/>
            <w:rPr>
              <w:rFonts w:ascii="Calibri" w:eastAsiaTheme="minorHAnsi" w:hAnsi="Calibri" w:cstheme="minorBidi"/>
              <w:color w:val="0B3B60"/>
              <w:sz w:val="22"/>
              <w:szCs w:val="22"/>
              <w:lang w:eastAsia="en-US"/>
            </w:rPr>
          </w:pPr>
        </w:p>
        <w:p w14:paraId="48B4CB9F" w14:textId="023F23A4" w:rsidR="0062475E" w:rsidRDefault="0062475E" w:rsidP="0062475E">
          <w:pPr>
            <w:pStyle w:val="Inhopg1"/>
            <w:tabs>
              <w:tab w:val="left" w:pos="440"/>
              <w:tab w:val="right" w:leader="dot" w:pos="9062"/>
            </w:tabs>
            <w:rPr>
              <w:rFonts w:asciiTheme="minorHAnsi" w:eastAsiaTheme="minorEastAsia" w:hAnsiTheme="minorHAnsi"/>
              <w:noProof/>
              <w:color w:val="auto"/>
              <w:lang w:eastAsia="nl-NL"/>
            </w:rPr>
          </w:pPr>
          <w:r>
            <w:fldChar w:fldCharType="begin"/>
          </w:r>
          <w:r>
            <w:instrText xml:space="preserve"> TOC \o "1-3" \h \z \u </w:instrText>
          </w:r>
          <w:r>
            <w:fldChar w:fldCharType="separate"/>
          </w:r>
          <w:hyperlink w:anchor="_Toc88559534" w:history="1">
            <w:r w:rsidRPr="000A4C29">
              <w:rPr>
                <w:rStyle w:val="Hyperlink"/>
                <w:noProof/>
              </w:rPr>
              <w:t>1.</w:t>
            </w:r>
            <w:r>
              <w:rPr>
                <w:rFonts w:asciiTheme="minorHAnsi" w:eastAsiaTheme="minorEastAsia" w:hAnsiTheme="minorHAnsi"/>
                <w:noProof/>
                <w:color w:val="auto"/>
                <w:lang w:eastAsia="nl-NL"/>
              </w:rPr>
              <w:tab/>
            </w:r>
            <w:r w:rsidRPr="000A4C29">
              <w:rPr>
                <w:rStyle w:val="Hyperlink"/>
                <w:noProof/>
              </w:rPr>
              <w:t>Inleiding en verantwoording</w:t>
            </w:r>
            <w:r>
              <w:rPr>
                <w:noProof/>
                <w:webHidden/>
              </w:rPr>
              <w:tab/>
            </w:r>
            <w:r>
              <w:rPr>
                <w:noProof/>
                <w:webHidden/>
              </w:rPr>
              <w:fldChar w:fldCharType="begin"/>
            </w:r>
            <w:r>
              <w:rPr>
                <w:noProof/>
                <w:webHidden/>
              </w:rPr>
              <w:instrText xml:space="preserve"> PAGEREF _Toc88559534 \h </w:instrText>
            </w:r>
            <w:r>
              <w:rPr>
                <w:noProof/>
                <w:webHidden/>
              </w:rPr>
            </w:r>
            <w:r>
              <w:rPr>
                <w:noProof/>
                <w:webHidden/>
              </w:rPr>
              <w:fldChar w:fldCharType="separate"/>
            </w:r>
            <w:r w:rsidR="00BA46F0">
              <w:rPr>
                <w:noProof/>
                <w:webHidden/>
              </w:rPr>
              <w:t>2</w:t>
            </w:r>
            <w:r>
              <w:rPr>
                <w:noProof/>
                <w:webHidden/>
              </w:rPr>
              <w:fldChar w:fldCharType="end"/>
            </w:r>
          </w:hyperlink>
        </w:p>
        <w:p w14:paraId="5AF465A2" w14:textId="7F113F4C" w:rsidR="0062475E" w:rsidRDefault="0062475E" w:rsidP="0062475E">
          <w:pPr>
            <w:pStyle w:val="Inhopg1"/>
            <w:tabs>
              <w:tab w:val="left" w:pos="440"/>
              <w:tab w:val="right" w:leader="dot" w:pos="9062"/>
            </w:tabs>
            <w:rPr>
              <w:rFonts w:asciiTheme="minorHAnsi" w:eastAsiaTheme="minorEastAsia" w:hAnsiTheme="minorHAnsi"/>
              <w:noProof/>
              <w:color w:val="auto"/>
              <w:lang w:eastAsia="nl-NL"/>
            </w:rPr>
          </w:pPr>
          <w:hyperlink w:anchor="_Toc88559535" w:history="1">
            <w:r w:rsidRPr="000A4C29">
              <w:rPr>
                <w:rStyle w:val="Hyperlink"/>
                <w:noProof/>
              </w:rPr>
              <w:t>2.</w:t>
            </w:r>
            <w:r>
              <w:rPr>
                <w:rFonts w:asciiTheme="minorHAnsi" w:eastAsiaTheme="minorEastAsia" w:hAnsiTheme="minorHAnsi"/>
                <w:noProof/>
                <w:color w:val="auto"/>
                <w:lang w:eastAsia="nl-NL"/>
              </w:rPr>
              <w:tab/>
            </w:r>
            <w:r w:rsidRPr="000A4C29">
              <w:rPr>
                <w:rStyle w:val="Hyperlink"/>
                <w:noProof/>
              </w:rPr>
              <w:t>Beschrijving van de organisatie</w:t>
            </w:r>
            <w:r>
              <w:rPr>
                <w:noProof/>
                <w:webHidden/>
              </w:rPr>
              <w:tab/>
            </w:r>
            <w:r>
              <w:rPr>
                <w:noProof/>
                <w:webHidden/>
              </w:rPr>
              <w:fldChar w:fldCharType="begin"/>
            </w:r>
            <w:r>
              <w:rPr>
                <w:noProof/>
                <w:webHidden/>
              </w:rPr>
              <w:instrText xml:space="preserve"> PAGEREF _Toc88559535 \h </w:instrText>
            </w:r>
            <w:r>
              <w:rPr>
                <w:noProof/>
                <w:webHidden/>
              </w:rPr>
            </w:r>
            <w:r>
              <w:rPr>
                <w:noProof/>
                <w:webHidden/>
              </w:rPr>
              <w:fldChar w:fldCharType="separate"/>
            </w:r>
            <w:r w:rsidR="00BA46F0">
              <w:rPr>
                <w:noProof/>
                <w:webHidden/>
              </w:rPr>
              <w:t>2</w:t>
            </w:r>
            <w:r>
              <w:rPr>
                <w:noProof/>
                <w:webHidden/>
              </w:rPr>
              <w:fldChar w:fldCharType="end"/>
            </w:r>
          </w:hyperlink>
        </w:p>
        <w:p w14:paraId="6CEBCDA4" w14:textId="1345E59F" w:rsidR="0062475E" w:rsidRDefault="0062475E" w:rsidP="0062475E">
          <w:pPr>
            <w:pStyle w:val="Inhopg1"/>
            <w:tabs>
              <w:tab w:val="left" w:pos="440"/>
              <w:tab w:val="right" w:leader="dot" w:pos="9062"/>
            </w:tabs>
            <w:rPr>
              <w:rFonts w:asciiTheme="minorHAnsi" w:eastAsiaTheme="minorEastAsia" w:hAnsiTheme="minorHAnsi"/>
              <w:noProof/>
              <w:color w:val="auto"/>
              <w:lang w:eastAsia="nl-NL"/>
            </w:rPr>
          </w:pPr>
          <w:hyperlink w:anchor="_Toc88559536" w:history="1">
            <w:r w:rsidRPr="000A4C29">
              <w:rPr>
                <w:rStyle w:val="Hyperlink"/>
                <w:noProof/>
              </w:rPr>
              <w:t>3.</w:t>
            </w:r>
            <w:r>
              <w:rPr>
                <w:rFonts w:asciiTheme="minorHAnsi" w:eastAsiaTheme="minorEastAsia" w:hAnsiTheme="minorHAnsi"/>
                <w:noProof/>
                <w:color w:val="auto"/>
                <w:lang w:eastAsia="nl-NL"/>
              </w:rPr>
              <w:tab/>
            </w:r>
            <w:r w:rsidRPr="000A4C29">
              <w:rPr>
                <w:rStyle w:val="Hyperlink"/>
                <w:noProof/>
              </w:rPr>
              <w:t>Verantwoordelijke</w:t>
            </w:r>
            <w:r>
              <w:rPr>
                <w:noProof/>
                <w:webHidden/>
              </w:rPr>
              <w:tab/>
            </w:r>
            <w:r>
              <w:rPr>
                <w:noProof/>
                <w:webHidden/>
              </w:rPr>
              <w:fldChar w:fldCharType="begin"/>
            </w:r>
            <w:r>
              <w:rPr>
                <w:noProof/>
                <w:webHidden/>
              </w:rPr>
              <w:instrText xml:space="preserve"> PAGEREF _Toc88559536 \h </w:instrText>
            </w:r>
            <w:r>
              <w:rPr>
                <w:noProof/>
                <w:webHidden/>
              </w:rPr>
            </w:r>
            <w:r>
              <w:rPr>
                <w:noProof/>
                <w:webHidden/>
              </w:rPr>
              <w:fldChar w:fldCharType="separate"/>
            </w:r>
            <w:r w:rsidR="00BA46F0">
              <w:rPr>
                <w:noProof/>
                <w:webHidden/>
              </w:rPr>
              <w:t>2</w:t>
            </w:r>
            <w:r>
              <w:rPr>
                <w:noProof/>
                <w:webHidden/>
              </w:rPr>
              <w:fldChar w:fldCharType="end"/>
            </w:r>
          </w:hyperlink>
        </w:p>
        <w:p w14:paraId="2D3D0BF5" w14:textId="7CE35079" w:rsidR="0062475E" w:rsidRDefault="0062475E" w:rsidP="0062475E">
          <w:pPr>
            <w:pStyle w:val="Inhopg1"/>
            <w:tabs>
              <w:tab w:val="left" w:pos="440"/>
              <w:tab w:val="right" w:leader="dot" w:pos="9062"/>
            </w:tabs>
            <w:rPr>
              <w:rFonts w:asciiTheme="minorHAnsi" w:eastAsiaTheme="minorEastAsia" w:hAnsiTheme="minorHAnsi"/>
              <w:noProof/>
              <w:color w:val="auto"/>
              <w:lang w:eastAsia="nl-NL"/>
            </w:rPr>
          </w:pPr>
          <w:hyperlink w:anchor="_Toc88559537" w:history="1">
            <w:r w:rsidRPr="000A4C29">
              <w:rPr>
                <w:rStyle w:val="Hyperlink"/>
                <w:noProof/>
              </w:rPr>
              <w:t>4.</w:t>
            </w:r>
            <w:r>
              <w:rPr>
                <w:rFonts w:asciiTheme="minorHAnsi" w:eastAsiaTheme="minorEastAsia" w:hAnsiTheme="minorHAnsi"/>
                <w:noProof/>
                <w:color w:val="auto"/>
                <w:lang w:eastAsia="nl-NL"/>
              </w:rPr>
              <w:tab/>
            </w:r>
            <w:r w:rsidRPr="000A4C29">
              <w:rPr>
                <w:rStyle w:val="Hyperlink"/>
                <w:noProof/>
              </w:rPr>
              <w:t>Basisjaar en rapportage</w:t>
            </w:r>
            <w:r>
              <w:rPr>
                <w:noProof/>
                <w:webHidden/>
              </w:rPr>
              <w:tab/>
            </w:r>
            <w:r>
              <w:rPr>
                <w:noProof/>
                <w:webHidden/>
              </w:rPr>
              <w:fldChar w:fldCharType="begin"/>
            </w:r>
            <w:r>
              <w:rPr>
                <w:noProof/>
                <w:webHidden/>
              </w:rPr>
              <w:instrText xml:space="preserve"> PAGEREF _Toc88559537 \h </w:instrText>
            </w:r>
            <w:r>
              <w:rPr>
                <w:noProof/>
                <w:webHidden/>
              </w:rPr>
            </w:r>
            <w:r>
              <w:rPr>
                <w:noProof/>
                <w:webHidden/>
              </w:rPr>
              <w:fldChar w:fldCharType="separate"/>
            </w:r>
            <w:r w:rsidR="00BA46F0">
              <w:rPr>
                <w:noProof/>
                <w:webHidden/>
              </w:rPr>
              <w:t>2</w:t>
            </w:r>
            <w:r>
              <w:rPr>
                <w:noProof/>
                <w:webHidden/>
              </w:rPr>
              <w:fldChar w:fldCharType="end"/>
            </w:r>
          </w:hyperlink>
        </w:p>
        <w:p w14:paraId="1A0087C1" w14:textId="22B37AC4" w:rsidR="0062475E" w:rsidRDefault="0062475E" w:rsidP="0062475E">
          <w:pPr>
            <w:pStyle w:val="Inhopg1"/>
            <w:tabs>
              <w:tab w:val="left" w:pos="440"/>
              <w:tab w:val="right" w:leader="dot" w:pos="9062"/>
            </w:tabs>
            <w:rPr>
              <w:rFonts w:asciiTheme="minorHAnsi" w:eastAsiaTheme="minorEastAsia" w:hAnsiTheme="minorHAnsi"/>
              <w:noProof/>
              <w:color w:val="auto"/>
              <w:lang w:eastAsia="nl-NL"/>
            </w:rPr>
          </w:pPr>
          <w:hyperlink w:anchor="_Toc88559538" w:history="1">
            <w:r w:rsidRPr="000A4C29">
              <w:rPr>
                <w:rStyle w:val="Hyperlink"/>
                <w:noProof/>
              </w:rPr>
              <w:t>5.</w:t>
            </w:r>
            <w:r>
              <w:rPr>
                <w:rFonts w:asciiTheme="minorHAnsi" w:eastAsiaTheme="minorEastAsia" w:hAnsiTheme="minorHAnsi"/>
                <w:noProof/>
                <w:color w:val="auto"/>
                <w:lang w:eastAsia="nl-NL"/>
              </w:rPr>
              <w:tab/>
            </w:r>
            <w:r w:rsidRPr="000A4C29">
              <w:rPr>
                <w:rStyle w:val="Hyperlink"/>
                <w:noProof/>
              </w:rPr>
              <w:t>Afbakening</w:t>
            </w:r>
            <w:r>
              <w:rPr>
                <w:noProof/>
                <w:webHidden/>
              </w:rPr>
              <w:tab/>
            </w:r>
            <w:r>
              <w:rPr>
                <w:noProof/>
                <w:webHidden/>
              </w:rPr>
              <w:fldChar w:fldCharType="begin"/>
            </w:r>
            <w:r>
              <w:rPr>
                <w:noProof/>
                <w:webHidden/>
              </w:rPr>
              <w:instrText xml:space="preserve"> PAGEREF _Toc88559538 \h </w:instrText>
            </w:r>
            <w:r>
              <w:rPr>
                <w:noProof/>
                <w:webHidden/>
              </w:rPr>
            </w:r>
            <w:r>
              <w:rPr>
                <w:noProof/>
                <w:webHidden/>
              </w:rPr>
              <w:fldChar w:fldCharType="separate"/>
            </w:r>
            <w:r w:rsidR="00BA46F0">
              <w:rPr>
                <w:noProof/>
                <w:webHidden/>
              </w:rPr>
              <w:t>2</w:t>
            </w:r>
            <w:r>
              <w:rPr>
                <w:noProof/>
                <w:webHidden/>
              </w:rPr>
              <w:fldChar w:fldCharType="end"/>
            </w:r>
          </w:hyperlink>
        </w:p>
        <w:p w14:paraId="2164B11C" w14:textId="03175F56" w:rsidR="0062475E" w:rsidRDefault="0062475E" w:rsidP="0062475E">
          <w:pPr>
            <w:pStyle w:val="Inhopg1"/>
            <w:tabs>
              <w:tab w:val="left" w:pos="440"/>
              <w:tab w:val="right" w:leader="dot" w:pos="9062"/>
            </w:tabs>
            <w:rPr>
              <w:rFonts w:asciiTheme="minorHAnsi" w:eastAsiaTheme="minorEastAsia" w:hAnsiTheme="minorHAnsi"/>
              <w:noProof/>
              <w:color w:val="auto"/>
              <w:lang w:eastAsia="nl-NL"/>
            </w:rPr>
          </w:pPr>
          <w:hyperlink w:anchor="_Toc88559539" w:history="1">
            <w:r w:rsidRPr="000A4C29">
              <w:rPr>
                <w:rStyle w:val="Hyperlink"/>
                <w:noProof/>
              </w:rPr>
              <w:t>6.</w:t>
            </w:r>
            <w:r>
              <w:rPr>
                <w:rFonts w:asciiTheme="minorHAnsi" w:eastAsiaTheme="minorEastAsia" w:hAnsiTheme="minorHAnsi"/>
                <w:noProof/>
                <w:color w:val="auto"/>
                <w:lang w:eastAsia="nl-NL"/>
              </w:rPr>
              <w:tab/>
            </w:r>
            <w:r w:rsidRPr="000A4C29">
              <w:rPr>
                <w:rStyle w:val="Hyperlink"/>
                <w:noProof/>
              </w:rPr>
              <w:t>Directe en indirecte GHG-emissies</w:t>
            </w:r>
            <w:r>
              <w:rPr>
                <w:noProof/>
                <w:webHidden/>
              </w:rPr>
              <w:tab/>
            </w:r>
            <w:r>
              <w:rPr>
                <w:noProof/>
                <w:webHidden/>
              </w:rPr>
              <w:fldChar w:fldCharType="begin"/>
            </w:r>
            <w:r>
              <w:rPr>
                <w:noProof/>
                <w:webHidden/>
              </w:rPr>
              <w:instrText xml:space="preserve"> PAGEREF _Toc88559539 \h </w:instrText>
            </w:r>
            <w:r>
              <w:rPr>
                <w:noProof/>
                <w:webHidden/>
              </w:rPr>
            </w:r>
            <w:r>
              <w:rPr>
                <w:noProof/>
                <w:webHidden/>
              </w:rPr>
              <w:fldChar w:fldCharType="separate"/>
            </w:r>
            <w:r w:rsidR="00BA46F0">
              <w:rPr>
                <w:noProof/>
                <w:webHidden/>
              </w:rPr>
              <w:t>3</w:t>
            </w:r>
            <w:r>
              <w:rPr>
                <w:noProof/>
                <w:webHidden/>
              </w:rPr>
              <w:fldChar w:fldCharType="end"/>
            </w:r>
          </w:hyperlink>
        </w:p>
        <w:p w14:paraId="2EEB4947" w14:textId="50458D3B" w:rsidR="0062475E" w:rsidRDefault="0062475E" w:rsidP="0062475E">
          <w:pPr>
            <w:pStyle w:val="Inhopg1"/>
            <w:tabs>
              <w:tab w:val="left" w:pos="440"/>
              <w:tab w:val="right" w:leader="dot" w:pos="9062"/>
            </w:tabs>
            <w:rPr>
              <w:rFonts w:asciiTheme="minorHAnsi" w:eastAsiaTheme="minorEastAsia" w:hAnsiTheme="minorHAnsi"/>
              <w:noProof/>
              <w:color w:val="auto"/>
              <w:lang w:eastAsia="nl-NL"/>
            </w:rPr>
          </w:pPr>
          <w:hyperlink w:anchor="_Toc88559540" w:history="1">
            <w:r w:rsidRPr="000A4C29">
              <w:rPr>
                <w:rStyle w:val="Hyperlink"/>
                <w:noProof/>
              </w:rPr>
              <w:t>7.</w:t>
            </w:r>
            <w:r>
              <w:rPr>
                <w:rFonts w:asciiTheme="minorHAnsi" w:eastAsiaTheme="minorEastAsia" w:hAnsiTheme="minorHAnsi"/>
                <w:noProof/>
                <w:color w:val="auto"/>
                <w:lang w:eastAsia="nl-NL"/>
              </w:rPr>
              <w:tab/>
            </w:r>
            <w:r w:rsidRPr="000A4C29">
              <w:rPr>
                <w:rStyle w:val="Hyperlink"/>
                <w:noProof/>
              </w:rPr>
              <w:t>Kwantificeringsmethoden</w:t>
            </w:r>
            <w:r>
              <w:rPr>
                <w:noProof/>
                <w:webHidden/>
              </w:rPr>
              <w:tab/>
            </w:r>
            <w:r>
              <w:rPr>
                <w:noProof/>
                <w:webHidden/>
              </w:rPr>
              <w:fldChar w:fldCharType="begin"/>
            </w:r>
            <w:r>
              <w:rPr>
                <w:noProof/>
                <w:webHidden/>
              </w:rPr>
              <w:instrText xml:space="preserve"> PAGEREF _Toc88559540 \h </w:instrText>
            </w:r>
            <w:r>
              <w:rPr>
                <w:noProof/>
                <w:webHidden/>
              </w:rPr>
            </w:r>
            <w:r>
              <w:rPr>
                <w:noProof/>
                <w:webHidden/>
              </w:rPr>
              <w:fldChar w:fldCharType="separate"/>
            </w:r>
            <w:r w:rsidR="00BA46F0">
              <w:rPr>
                <w:noProof/>
                <w:webHidden/>
              </w:rPr>
              <w:t>4</w:t>
            </w:r>
            <w:r>
              <w:rPr>
                <w:noProof/>
                <w:webHidden/>
              </w:rPr>
              <w:fldChar w:fldCharType="end"/>
            </w:r>
          </w:hyperlink>
        </w:p>
        <w:p w14:paraId="1366F4EC" w14:textId="3F26B7C1" w:rsidR="0062475E" w:rsidRDefault="0062475E" w:rsidP="0062475E">
          <w:pPr>
            <w:pStyle w:val="Inhopg1"/>
            <w:tabs>
              <w:tab w:val="left" w:pos="440"/>
              <w:tab w:val="right" w:leader="dot" w:pos="9062"/>
            </w:tabs>
            <w:rPr>
              <w:rFonts w:asciiTheme="minorHAnsi" w:eastAsiaTheme="minorEastAsia" w:hAnsiTheme="minorHAnsi"/>
              <w:noProof/>
              <w:color w:val="auto"/>
              <w:lang w:eastAsia="nl-NL"/>
            </w:rPr>
          </w:pPr>
          <w:hyperlink w:anchor="_Toc88559541" w:history="1">
            <w:r w:rsidRPr="000A4C29">
              <w:rPr>
                <w:rStyle w:val="Hyperlink"/>
                <w:noProof/>
              </w:rPr>
              <w:t>8.</w:t>
            </w:r>
            <w:r>
              <w:rPr>
                <w:rFonts w:asciiTheme="minorHAnsi" w:eastAsiaTheme="minorEastAsia" w:hAnsiTheme="minorHAnsi"/>
                <w:noProof/>
                <w:color w:val="auto"/>
                <w:lang w:eastAsia="nl-NL"/>
              </w:rPr>
              <w:tab/>
            </w:r>
            <w:r w:rsidRPr="000A4C29">
              <w:rPr>
                <w:rStyle w:val="Hyperlink"/>
                <w:noProof/>
              </w:rPr>
              <w:t>Emissiefactoren</w:t>
            </w:r>
            <w:r>
              <w:rPr>
                <w:noProof/>
                <w:webHidden/>
              </w:rPr>
              <w:tab/>
            </w:r>
            <w:r>
              <w:rPr>
                <w:noProof/>
                <w:webHidden/>
              </w:rPr>
              <w:fldChar w:fldCharType="begin"/>
            </w:r>
            <w:r>
              <w:rPr>
                <w:noProof/>
                <w:webHidden/>
              </w:rPr>
              <w:instrText xml:space="preserve"> PAGEREF _Toc88559541 \h </w:instrText>
            </w:r>
            <w:r>
              <w:rPr>
                <w:noProof/>
                <w:webHidden/>
              </w:rPr>
            </w:r>
            <w:r>
              <w:rPr>
                <w:noProof/>
                <w:webHidden/>
              </w:rPr>
              <w:fldChar w:fldCharType="separate"/>
            </w:r>
            <w:r w:rsidR="00BA46F0">
              <w:rPr>
                <w:noProof/>
                <w:webHidden/>
              </w:rPr>
              <w:t>5</w:t>
            </w:r>
            <w:r>
              <w:rPr>
                <w:noProof/>
                <w:webHidden/>
              </w:rPr>
              <w:fldChar w:fldCharType="end"/>
            </w:r>
          </w:hyperlink>
        </w:p>
        <w:p w14:paraId="6FCECA30" w14:textId="5FBAE6B5" w:rsidR="0062475E" w:rsidRDefault="0062475E" w:rsidP="0062475E">
          <w:pPr>
            <w:pStyle w:val="Inhopg1"/>
            <w:tabs>
              <w:tab w:val="left" w:pos="440"/>
              <w:tab w:val="right" w:leader="dot" w:pos="9062"/>
            </w:tabs>
            <w:rPr>
              <w:rFonts w:asciiTheme="minorHAnsi" w:eastAsiaTheme="minorEastAsia" w:hAnsiTheme="minorHAnsi"/>
              <w:noProof/>
              <w:color w:val="auto"/>
              <w:lang w:eastAsia="nl-NL"/>
            </w:rPr>
          </w:pPr>
          <w:hyperlink w:anchor="_Toc88559542" w:history="1">
            <w:r w:rsidRPr="000A4C29">
              <w:rPr>
                <w:rStyle w:val="Hyperlink"/>
                <w:noProof/>
              </w:rPr>
              <w:t>9.</w:t>
            </w:r>
            <w:r>
              <w:rPr>
                <w:rFonts w:asciiTheme="minorHAnsi" w:eastAsiaTheme="minorEastAsia" w:hAnsiTheme="minorHAnsi"/>
                <w:noProof/>
                <w:color w:val="auto"/>
                <w:lang w:eastAsia="nl-NL"/>
              </w:rPr>
              <w:tab/>
            </w:r>
            <w:r w:rsidRPr="000A4C29">
              <w:rPr>
                <w:rStyle w:val="Hyperlink"/>
                <w:noProof/>
              </w:rPr>
              <w:t>Onzekerheden</w:t>
            </w:r>
            <w:r>
              <w:rPr>
                <w:noProof/>
                <w:webHidden/>
              </w:rPr>
              <w:tab/>
            </w:r>
            <w:r>
              <w:rPr>
                <w:noProof/>
                <w:webHidden/>
              </w:rPr>
              <w:fldChar w:fldCharType="begin"/>
            </w:r>
            <w:r>
              <w:rPr>
                <w:noProof/>
                <w:webHidden/>
              </w:rPr>
              <w:instrText xml:space="preserve"> PAGEREF _Toc88559542 \h </w:instrText>
            </w:r>
            <w:r>
              <w:rPr>
                <w:noProof/>
                <w:webHidden/>
              </w:rPr>
            </w:r>
            <w:r>
              <w:rPr>
                <w:noProof/>
                <w:webHidden/>
              </w:rPr>
              <w:fldChar w:fldCharType="separate"/>
            </w:r>
            <w:r w:rsidR="00BA46F0">
              <w:rPr>
                <w:noProof/>
                <w:webHidden/>
              </w:rPr>
              <w:t>5</w:t>
            </w:r>
            <w:r>
              <w:rPr>
                <w:noProof/>
                <w:webHidden/>
              </w:rPr>
              <w:fldChar w:fldCharType="end"/>
            </w:r>
          </w:hyperlink>
        </w:p>
        <w:p w14:paraId="6B2F8613" w14:textId="2ADA7979" w:rsidR="0062475E" w:rsidRDefault="0062475E" w:rsidP="0062475E">
          <w:pPr>
            <w:pStyle w:val="Inhopg1"/>
            <w:tabs>
              <w:tab w:val="left" w:pos="660"/>
              <w:tab w:val="right" w:leader="dot" w:pos="9062"/>
            </w:tabs>
            <w:rPr>
              <w:rFonts w:asciiTheme="minorHAnsi" w:eastAsiaTheme="minorEastAsia" w:hAnsiTheme="minorHAnsi"/>
              <w:noProof/>
              <w:color w:val="auto"/>
              <w:lang w:eastAsia="nl-NL"/>
            </w:rPr>
          </w:pPr>
          <w:hyperlink w:anchor="_Toc88559543" w:history="1">
            <w:r w:rsidRPr="000A4C29">
              <w:rPr>
                <w:rStyle w:val="Hyperlink"/>
                <w:noProof/>
              </w:rPr>
              <w:t>10.</w:t>
            </w:r>
            <w:r>
              <w:rPr>
                <w:rFonts w:asciiTheme="minorHAnsi" w:eastAsiaTheme="minorEastAsia" w:hAnsiTheme="minorHAnsi"/>
                <w:noProof/>
                <w:color w:val="auto"/>
                <w:lang w:eastAsia="nl-NL"/>
              </w:rPr>
              <w:t xml:space="preserve">   </w:t>
            </w:r>
            <w:r w:rsidRPr="000A4C29">
              <w:rPr>
                <w:rStyle w:val="Hyperlink"/>
                <w:noProof/>
              </w:rPr>
              <w:t>Rapportage volgens ISO 14064 deel 9</w:t>
            </w:r>
            <w:r>
              <w:rPr>
                <w:noProof/>
                <w:webHidden/>
              </w:rPr>
              <w:tab/>
            </w:r>
            <w:r>
              <w:rPr>
                <w:noProof/>
                <w:webHidden/>
              </w:rPr>
              <w:fldChar w:fldCharType="begin"/>
            </w:r>
            <w:r>
              <w:rPr>
                <w:noProof/>
                <w:webHidden/>
              </w:rPr>
              <w:instrText xml:space="preserve"> PAGEREF _Toc88559543 \h </w:instrText>
            </w:r>
            <w:r>
              <w:rPr>
                <w:noProof/>
                <w:webHidden/>
              </w:rPr>
            </w:r>
            <w:r>
              <w:rPr>
                <w:noProof/>
                <w:webHidden/>
              </w:rPr>
              <w:fldChar w:fldCharType="separate"/>
            </w:r>
            <w:r w:rsidR="00BA46F0">
              <w:rPr>
                <w:noProof/>
                <w:webHidden/>
              </w:rPr>
              <w:t>5</w:t>
            </w:r>
            <w:r>
              <w:rPr>
                <w:noProof/>
                <w:webHidden/>
              </w:rPr>
              <w:fldChar w:fldCharType="end"/>
            </w:r>
          </w:hyperlink>
        </w:p>
        <w:p w14:paraId="193783CF" w14:textId="77777777" w:rsidR="0062475E" w:rsidRDefault="0062475E" w:rsidP="0062475E">
          <w:r>
            <w:rPr>
              <w:b/>
              <w:bCs/>
            </w:rPr>
            <w:fldChar w:fldCharType="end"/>
          </w:r>
        </w:p>
      </w:sdtContent>
    </w:sdt>
    <w:p w14:paraId="01C86E40" w14:textId="77777777" w:rsidR="0062475E" w:rsidRDefault="0062475E" w:rsidP="0062475E">
      <w:pPr>
        <w:rPr>
          <w:rFonts w:eastAsiaTheme="majorEastAsia" w:cstheme="majorBidi"/>
          <w:b/>
          <w:szCs w:val="32"/>
        </w:rPr>
      </w:pPr>
      <w:r>
        <w:br w:type="page"/>
      </w:r>
    </w:p>
    <w:p w14:paraId="013A3CC2" w14:textId="77777777" w:rsidR="0062475E" w:rsidRPr="00006D98" w:rsidRDefault="0062475E" w:rsidP="0062475E">
      <w:pPr>
        <w:pStyle w:val="Kop1"/>
        <w:numPr>
          <w:ilvl w:val="0"/>
          <w:numId w:val="1"/>
        </w:numPr>
        <w:rPr>
          <w:b/>
          <w:bCs/>
          <w:color w:val="002060"/>
          <w:sz w:val="22"/>
          <w:szCs w:val="22"/>
        </w:rPr>
      </w:pPr>
      <w:bookmarkStart w:id="0" w:name="_Toc88559534"/>
      <w:r w:rsidRPr="00006D98">
        <w:rPr>
          <w:b/>
          <w:bCs/>
          <w:color w:val="002060"/>
          <w:sz w:val="22"/>
          <w:szCs w:val="22"/>
        </w:rPr>
        <w:lastRenderedPageBreak/>
        <w:t>Inleiding en verantwoording</w:t>
      </w:r>
      <w:bookmarkEnd w:id="0"/>
    </w:p>
    <w:p w14:paraId="3239981A" w14:textId="392A388A" w:rsidR="0062475E" w:rsidRPr="00211D75" w:rsidRDefault="0062475E" w:rsidP="0062475E">
      <w:pPr>
        <w:pStyle w:val="Geenafstand"/>
        <w:rPr>
          <w:color w:val="002060"/>
        </w:rPr>
      </w:pPr>
      <w:r w:rsidRPr="00211D75">
        <w:rPr>
          <w:color w:val="002060"/>
        </w:rPr>
        <w:t>In dit rapport wordt de emissie inventaris over 202</w:t>
      </w:r>
      <w:r w:rsidR="004506AD">
        <w:rPr>
          <w:color w:val="002060"/>
        </w:rPr>
        <w:t>5</w:t>
      </w:r>
      <w:r w:rsidRPr="00211D75">
        <w:rPr>
          <w:color w:val="002060"/>
        </w:rPr>
        <w:t xml:space="preserve"> besproken en richt zich op invalshoek A (inzicht) van de CO2 prestatieladder. De CO2 voetafdruk geeft een inventarisatie van de totale hoeveelheid uitgestoten broeikasgassen: de GHG emissies. Daarnaast geeft het inzicht in de herkomst van deze emissies met een verdeling naar directe en indirecte GHG emissies (respectievelijk scope 1, scope 2 en business </w:t>
      </w:r>
      <w:proofErr w:type="spellStart"/>
      <w:r w:rsidRPr="00211D75">
        <w:rPr>
          <w:color w:val="002060"/>
        </w:rPr>
        <w:t>travel</w:t>
      </w:r>
      <w:proofErr w:type="spellEnd"/>
      <w:r w:rsidRPr="00211D75">
        <w:rPr>
          <w:color w:val="002060"/>
        </w:rPr>
        <w:t>).</w:t>
      </w:r>
    </w:p>
    <w:p w14:paraId="668CDBB4" w14:textId="77777777" w:rsidR="0062475E" w:rsidRPr="00211D75" w:rsidRDefault="0062475E" w:rsidP="0062475E">
      <w:pPr>
        <w:pStyle w:val="Geenafstand"/>
        <w:rPr>
          <w:color w:val="002060"/>
        </w:rPr>
      </w:pPr>
    </w:p>
    <w:p w14:paraId="44D57347" w14:textId="77777777" w:rsidR="0062475E" w:rsidRPr="00211D75" w:rsidRDefault="0062475E" w:rsidP="0062475E">
      <w:pPr>
        <w:pStyle w:val="Geenafstand"/>
        <w:rPr>
          <w:color w:val="002060"/>
        </w:rPr>
      </w:pPr>
      <w:r w:rsidRPr="00211D75">
        <w:rPr>
          <w:color w:val="002060"/>
        </w:rPr>
        <w:t xml:space="preserve">De inventarisatie is een verantwoording van onderdeel 3.A.1 uit de prestatieladder en is uitgevoerd conform de ISO 14064-1:2018.  In dit rapport wordt de voetprint gerapporteerd volgens § 9.3.1 van deze norm, in het laatste hoofdstuk is hiertoe een cross </w:t>
      </w:r>
      <w:proofErr w:type="spellStart"/>
      <w:r w:rsidRPr="00211D75">
        <w:rPr>
          <w:color w:val="002060"/>
        </w:rPr>
        <w:t>reference</w:t>
      </w:r>
      <w:proofErr w:type="spellEnd"/>
      <w:r w:rsidRPr="00211D75">
        <w:rPr>
          <w:color w:val="002060"/>
        </w:rPr>
        <w:t xml:space="preserve"> </w:t>
      </w:r>
      <w:proofErr w:type="spellStart"/>
      <w:r w:rsidRPr="00211D75">
        <w:rPr>
          <w:color w:val="002060"/>
        </w:rPr>
        <w:t>table</w:t>
      </w:r>
      <w:proofErr w:type="spellEnd"/>
      <w:r w:rsidRPr="00211D75">
        <w:rPr>
          <w:color w:val="002060"/>
        </w:rPr>
        <w:t xml:space="preserve"> opgenomen.</w:t>
      </w:r>
    </w:p>
    <w:p w14:paraId="4BB435B9" w14:textId="77777777" w:rsidR="0062475E" w:rsidRPr="00006D98" w:rsidRDefault="0062475E" w:rsidP="0062475E">
      <w:pPr>
        <w:pStyle w:val="Kop1"/>
        <w:numPr>
          <w:ilvl w:val="0"/>
          <w:numId w:val="1"/>
        </w:numPr>
        <w:rPr>
          <w:b/>
          <w:bCs/>
          <w:color w:val="002060"/>
          <w:sz w:val="22"/>
          <w:szCs w:val="22"/>
        </w:rPr>
      </w:pPr>
      <w:bookmarkStart w:id="1" w:name="_Toc88559535"/>
      <w:r w:rsidRPr="00006D98">
        <w:rPr>
          <w:b/>
          <w:bCs/>
          <w:color w:val="002060"/>
          <w:sz w:val="22"/>
          <w:szCs w:val="22"/>
        </w:rPr>
        <w:t>Beschrijving van de organisatie</w:t>
      </w:r>
      <w:bookmarkEnd w:id="1"/>
    </w:p>
    <w:p w14:paraId="5B7DC642" w14:textId="568C8AF4" w:rsidR="0062475E" w:rsidRPr="00211D75" w:rsidRDefault="0062475E" w:rsidP="0062475E">
      <w:pPr>
        <w:rPr>
          <w:color w:val="002060"/>
        </w:rPr>
      </w:pPr>
      <w:r w:rsidRPr="00211D75">
        <w:rPr>
          <w:color w:val="002060"/>
        </w:rPr>
        <w:t>Handelsonderneming van Schaik Ingen BV houdt zich bezig met het kweken en verwerken van wilgentenen. Dit gebeurt in de vorm van oever- en bodembeschermingen. Het kweken gebeurt op diverse percelen grond rondom het bedrijf en in het land van Maas en Waal. Het verwerken gebeurt deels op het bedrijfsterrein en deels op de projectlocaties. Deze kunnen in Nederland en in het buitenland zijn. Naast onze maatschappelijke betrokkenheid wat zorgt voor het willen reduceren van de CO2-uitstoot, vragen ook onze klanten om deelname aan de CO2-prestatieladder. Beide factoren zorgen ervoor dat wij in 2021 gecertificeerd zijn op trede 3 van de CO2-prestatieladder.</w:t>
      </w:r>
    </w:p>
    <w:p w14:paraId="032BB9D5" w14:textId="77777777" w:rsidR="0062475E" w:rsidRPr="00006D98" w:rsidRDefault="0062475E" w:rsidP="0062475E">
      <w:pPr>
        <w:pStyle w:val="Kop1"/>
        <w:numPr>
          <w:ilvl w:val="0"/>
          <w:numId w:val="1"/>
        </w:numPr>
        <w:rPr>
          <w:b/>
          <w:bCs/>
          <w:color w:val="002060"/>
          <w:sz w:val="22"/>
          <w:szCs w:val="22"/>
        </w:rPr>
      </w:pPr>
      <w:bookmarkStart w:id="2" w:name="_Toc88559536"/>
      <w:r w:rsidRPr="00006D98">
        <w:rPr>
          <w:b/>
          <w:bCs/>
          <w:color w:val="002060"/>
          <w:sz w:val="22"/>
          <w:szCs w:val="22"/>
        </w:rPr>
        <w:t>Verantwoordelijke</w:t>
      </w:r>
      <w:bookmarkEnd w:id="2"/>
    </w:p>
    <w:p w14:paraId="3F84CA6A" w14:textId="77777777" w:rsidR="0062475E" w:rsidRPr="00211D75" w:rsidRDefault="0062475E" w:rsidP="0062475E">
      <w:pPr>
        <w:pStyle w:val="Geenafstand"/>
        <w:rPr>
          <w:color w:val="002060"/>
        </w:rPr>
      </w:pPr>
      <w:r w:rsidRPr="00211D75">
        <w:rPr>
          <w:color w:val="002060"/>
        </w:rPr>
        <w:t>De verantwoordelijk</w:t>
      </w:r>
      <w:r>
        <w:rPr>
          <w:color w:val="002060"/>
        </w:rPr>
        <w:t>e</w:t>
      </w:r>
      <w:r w:rsidRPr="00211D75">
        <w:rPr>
          <w:color w:val="002060"/>
        </w:rPr>
        <w:t xml:space="preserve"> voor de stuurcyclus CO2-reductie alsmede alle activiteiten die hier aan gekoppeld zijn, zoals het behalen van de doelstellingen, is Sarienke Blaauw. Zij rapporteert rechtstreeks aan de directie.</w:t>
      </w:r>
    </w:p>
    <w:p w14:paraId="64561A87" w14:textId="77777777" w:rsidR="0062475E" w:rsidRPr="00006D98" w:rsidRDefault="0062475E" w:rsidP="0062475E">
      <w:pPr>
        <w:pStyle w:val="Kop1"/>
        <w:numPr>
          <w:ilvl w:val="0"/>
          <w:numId w:val="1"/>
        </w:numPr>
        <w:rPr>
          <w:b/>
          <w:bCs/>
          <w:color w:val="002060"/>
          <w:sz w:val="22"/>
          <w:szCs w:val="22"/>
        </w:rPr>
      </w:pPr>
      <w:bookmarkStart w:id="3" w:name="_Toc88559537"/>
      <w:r w:rsidRPr="00006D98">
        <w:rPr>
          <w:b/>
          <w:bCs/>
          <w:color w:val="002060"/>
          <w:sz w:val="22"/>
          <w:szCs w:val="22"/>
        </w:rPr>
        <w:t>Basisjaar en rapportage</w:t>
      </w:r>
      <w:bookmarkEnd w:id="3"/>
    </w:p>
    <w:p w14:paraId="56448B9A" w14:textId="45EB0500" w:rsidR="0062475E" w:rsidRPr="00211D75" w:rsidRDefault="0062475E" w:rsidP="0062475E">
      <w:pPr>
        <w:pStyle w:val="Geenafstand"/>
        <w:rPr>
          <w:color w:val="002060"/>
        </w:rPr>
      </w:pPr>
      <w:r w:rsidRPr="00211D75">
        <w:rPr>
          <w:color w:val="002060"/>
        </w:rPr>
        <w:t>Dit rapport betreft het jaar 202</w:t>
      </w:r>
      <w:r w:rsidR="004506AD">
        <w:rPr>
          <w:color w:val="002060"/>
        </w:rPr>
        <w:t>5</w:t>
      </w:r>
      <w:r w:rsidRPr="00211D75">
        <w:rPr>
          <w:color w:val="002060"/>
        </w:rPr>
        <w:t xml:space="preserve">, 2020 geldt voor ons bedrijf als referentiejaar voor de CO2-reductiedoelstellingen. Tijdens het schrijven van dit rapport zijn de cijfers van het lopende jaar nog niet beschikbaar. </w:t>
      </w:r>
    </w:p>
    <w:p w14:paraId="1EAC75A1" w14:textId="77777777" w:rsidR="0062475E" w:rsidRPr="00006D98" w:rsidRDefault="0062475E" w:rsidP="0062475E">
      <w:pPr>
        <w:pStyle w:val="Kop1"/>
        <w:numPr>
          <w:ilvl w:val="0"/>
          <w:numId w:val="1"/>
        </w:numPr>
        <w:rPr>
          <w:b/>
          <w:bCs/>
          <w:color w:val="002060"/>
          <w:sz w:val="22"/>
          <w:szCs w:val="22"/>
        </w:rPr>
      </w:pPr>
      <w:bookmarkStart w:id="4" w:name="_Toc88559538"/>
      <w:r w:rsidRPr="00006D98">
        <w:rPr>
          <w:b/>
          <w:bCs/>
          <w:color w:val="002060"/>
          <w:sz w:val="22"/>
          <w:szCs w:val="22"/>
        </w:rPr>
        <w:t>Afbakening</w:t>
      </w:r>
      <w:bookmarkEnd w:id="4"/>
      <w:r w:rsidRPr="00006D98">
        <w:rPr>
          <w:b/>
          <w:bCs/>
          <w:color w:val="002060"/>
          <w:sz w:val="22"/>
          <w:szCs w:val="22"/>
        </w:rPr>
        <w:t xml:space="preserve"> </w:t>
      </w:r>
    </w:p>
    <w:p w14:paraId="59295D6E" w14:textId="77777777" w:rsidR="0062475E" w:rsidRPr="00211D75" w:rsidRDefault="0062475E" w:rsidP="0062475E">
      <w:pPr>
        <w:pStyle w:val="Geenafstand"/>
        <w:rPr>
          <w:color w:val="002060"/>
        </w:rPr>
      </w:pPr>
      <w:r w:rsidRPr="00211D75">
        <w:rPr>
          <w:color w:val="002060"/>
        </w:rPr>
        <w:t>In hoofdstuk 3 van het GHG-protocol worden twee methodes beschreven waarop de “</w:t>
      </w:r>
      <w:proofErr w:type="spellStart"/>
      <w:r w:rsidRPr="00211D75">
        <w:rPr>
          <w:color w:val="002060"/>
        </w:rPr>
        <w:t>organizational</w:t>
      </w:r>
      <w:proofErr w:type="spellEnd"/>
      <w:r w:rsidRPr="00211D75">
        <w:rPr>
          <w:color w:val="002060"/>
        </w:rPr>
        <w:t xml:space="preserve"> </w:t>
      </w:r>
      <w:proofErr w:type="spellStart"/>
      <w:r w:rsidRPr="00211D75">
        <w:rPr>
          <w:color w:val="002060"/>
        </w:rPr>
        <w:t>boundary</w:t>
      </w:r>
      <w:proofErr w:type="spellEnd"/>
      <w:r w:rsidRPr="00211D75">
        <w:rPr>
          <w:color w:val="002060"/>
        </w:rPr>
        <w:t xml:space="preserve">” kan worden bepaald, de GHG-methode en de Laterale Methode. Handelsonderneming van Schaik Ingen BV heeft ervoor gekozen om de GHG-methode te hanteren. Als </w:t>
      </w:r>
      <w:proofErr w:type="spellStart"/>
      <w:r w:rsidRPr="00211D75">
        <w:rPr>
          <w:color w:val="002060"/>
        </w:rPr>
        <w:t>Boundary</w:t>
      </w:r>
      <w:proofErr w:type="spellEnd"/>
      <w:r w:rsidRPr="00211D75">
        <w:rPr>
          <w:color w:val="002060"/>
        </w:rPr>
        <w:t xml:space="preserve"> wordt gekozen: Handelsonderneming van Schaik Ingen BV. Alle onder Handelsonderneming van Schaik </w:t>
      </w:r>
    </w:p>
    <w:p w14:paraId="22F22ACA" w14:textId="77777777" w:rsidR="0062475E" w:rsidRPr="00211D75" w:rsidRDefault="0062475E" w:rsidP="0062475E">
      <w:pPr>
        <w:pStyle w:val="Geenafstand"/>
        <w:rPr>
          <w:color w:val="002060"/>
        </w:rPr>
      </w:pPr>
      <w:r w:rsidRPr="00211D75">
        <w:rPr>
          <w:color w:val="002060"/>
        </w:rPr>
        <w:t xml:space="preserve">Ingen BV vallende bedrijven zijn: Handelsonderneming van Schaik Langbroek BV en </w:t>
      </w:r>
      <w:proofErr w:type="spellStart"/>
      <w:r w:rsidRPr="00211D75">
        <w:rPr>
          <w:color w:val="002060"/>
        </w:rPr>
        <w:t>Lunros</w:t>
      </w:r>
      <w:proofErr w:type="spellEnd"/>
      <w:r w:rsidRPr="00211D75">
        <w:rPr>
          <w:color w:val="002060"/>
        </w:rPr>
        <w:t xml:space="preserve"> BV. Deze bedrijven zijn niet in de </w:t>
      </w:r>
      <w:proofErr w:type="spellStart"/>
      <w:r w:rsidRPr="00211D75">
        <w:rPr>
          <w:color w:val="002060"/>
        </w:rPr>
        <w:t>boundary</w:t>
      </w:r>
      <w:proofErr w:type="spellEnd"/>
      <w:r w:rsidRPr="00211D75">
        <w:rPr>
          <w:color w:val="002060"/>
        </w:rPr>
        <w:t xml:space="preserve"> opgenomen. Er wordt naar buiten getreden als Handelsonderneming van Schaik Ingen BV. Onderstaand wordt de juridische entiteit genoemd die geldt voor het berekenen van de CO2-footprint, de bijbehorende CO2-reductiedoelstellingen en ook als naam zal worden gebruikt op het CO2-bewust certificaat:</w:t>
      </w:r>
    </w:p>
    <w:p w14:paraId="3F605B74" w14:textId="77777777" w:rsidR="0062475E" w:rsidRPr="00211D75" w:rsidRDefault="0062475E" w:rsidP="0062475E">
      <w:pPr>
        <w:pStyle w:val="Geenafstand"/>
        <w:rPr>
          <w:color w:val="002060"/>
        </w:rPr>
      </w:pPr>
    </w:p>
    <w:p w14:paraId="6EA14356" w14:textId="77777777" w:rsidR="0062475E" w:rsidRPr="00211D75" w:rsidRDefault="0062475E" w:rsidP="0062475E">
      <w:pPr>
        <w:pStyle w:val="Geenafstand"/>
        <w:rPr>
          <w:b/>
          <w:color w:val="002060"/>
        </w:rPr>
      </w:pPr>
      <w:r w:rsidRPr="00211D75">
        <w:rPr>
          <w:b/>
          <w:color w:val="002060"/>
        </w:rPr>
        <w:t>Handelsonderneming van Schaik Ingen BV</w:t>
      </w:r>
    </w:p>
    <w:p w14:paraId="2F0A8A1A" w14:textId="77777777" w:rsidR="0062475E" w:rsidRPr="00211D75" w:rsidRDefault="0062475E" w:rsidP="008832D4">
      <w:r w:rsidRPr="00211D75">
        <w:t xml:space="preserve">Dat wil zeggen dat alle operationele werkzaamheden door Handelsonderneming van Schaik Ingen BV worden verricht, zoals ook ingeschreven bij de Kamer van Koophandel onder deze naam. De daarbij behorende CO2-uitstoot zal als input worden gebruikt voor het berekenen van de CO2-footprint. Onderstaand volgt verdere toelichting op deze </w:t>
      </w:r>
      <w:proofErr w:type="spellStart"/>
      <w:r w:rsidRPr="00211D75">
        <w:t>boundary</w:t>
      </w:r>
      <w:proofErr w:type="spellEnd"/>
      <w:r w:rsidRPr="00211D75">
        <w:t xml:space="preserve"> volgens de aandelen methode (</w:t>
      </w:r>
      <w:proofErr w:type="spellStart"/>
      <w:r w:rsidRPr="00211D75">
        <w:t>equity</w:t>
      </w:r>
      <w:proofErr w:type="spellEnd"/>
      <w:r w:rsidRPr="00211D75">
        <w:t xml:space="preserve"> share approach).</w:t>
      </w:r>
    </w:p>
    <w:p w14:paraId="4260D5D2" w14:textId="77777777" w:rsidR="0062475E" w:rsidRPr="00211D75" w:rsidRDefault="0062475E" w:rsidP="0062475E">
      <w:pPr>
        <w:pStyle w:val="Geenafstand"/>
        <w:rPr>
          <w:color w:val="002060"/>
        </w:rPr>
      </w:pPr>
    </w:p>
    <w:p w14:paraId="74A1BB00" w14:textId="77777777" w:rsidR="0062475E" w:rsidRPr="00211D75" w:rsidRDefault="0062475E" w:rsidP="0062475E">
      <w:pPr>
        <w:pStyle w:val="Geenafstand"/>
        <w:rPr>
          <w:color w:val="002060"/>
        </w:rPr>
      </w:pPr>
      <w:r w:rsidRPr="00211D75">
        <w:rPr>
          <w:color w:val="002060"/>
        </w:rPr>
        <w:t>Handelsonderneming van Schaik Ingen BV:</w:t>
      </w:r>
    </w:p>
    <w:p w14:paraId="7B8FE2D6" w14:textId="77777777" w:rsidR="0062475E" w:rsidRPr="00211D75" w:rsidRDefault="0062475E" w:rsidP="0062475E">
      <w:pPr>
        <w:pStyle w:val="Geenafstand"/>
        <w:rPr>
          <w:color w:val="002060"/>
        </w:rPr>
      </w:pPr>
      <w:r w:rsidRPr="00211D75">
        <w:rPr>
          <w:color w:val="002060"/>
        </w:rPr>
        <w:t>•</w:t>
      </w:r>
      <w:r w:rsidRPr="00211D75">
        <w:rPr>
          <w:color w:val="002060"/>
        </w:rPr>
        <w:tab/>
        <w:t>heeft alleen aandelen van het eigen bedrijf;</w:t>
      </w:r>
    </w:p>
    <w:p w14:paraId="59FE250D" w14:textId="77777777" w:rsidR="0062475E" w:rsidRPr="00211D75" w:rsidRDefault="0062475E" w:rsidP="0062475E">
      <w:pPr>
        <w:pStyle w:val="Geenafstand"/>
        <w:rPr>
          <w:color w:val="002060"/>
        </w:rPr>
      </w:pPr>
      <w:r w:rsidRPr="00211D75">
        <w:rPr>
          <w:color w:val="002060"/>
        </w:rPr>
        <w:t>•</w:t>
      </w:r>
      <w:r w:rsidRPr="00211D75">
        <w:rPr>
          <w:color w:val="002060"/>
        </w:rPr>
        <w:tab/>
        <w:t>is geen onderdeel van een joint venture;</w:t>
      </w:r>
    </w:p>
    <w:p w14:paraId="05E04090" w14:textId="77777777" w:rsidR="0062475E" w:rsidRPr="00211D75" w:rsidRDefault="0062475E" w:rsidP="0062475E">
      <w:pPr>
        <w:pStyle w:val="Geenafstand"/>
        <w:rPr>
          <w:color w:val="002060"/>
        </w:rPr>
      </w:pPr>
      <w:r w:rsidRPr="00211D75">
        <w:rPr>
          <w:color w:val="002060"/>
        </w:rPr>
        <w:t>•</w:t>
      </w:r>
      <w:r w:rsidRPr="00211D75">
        <w:rPr>
          <w:color w:val="002060"/>
        </w:rPr>
        <w:tab/>
        <w:t>heeft geen samenwerking met andere bedrijven waarvan zij ook aandelen bezit;</w:t>
      </w:r>
    </w:p>
    <w:p w14:paraId="071989D1" w14:textId="77777777" w:rsidR="0062475E" w:rsidRPr="00211D75" w:rsidRDefault="0062475E" w:rsidP="0062475E">
      <w:pPr>
        <w:pStyle w:val="Geenafstand"/>
        <w:rPr>
          <w:color w:val="002060"/>
        </w:rPr>
      </w:pPr>
      <w:r w:rsidRPr="00211D75">
        <w:rPr>
          <w:color w:val="002060"/>
        </w:rPr>
        <w:t>•</w:t>
      </w:r>
      <w:r w:rsidRPr="00211D75">
        <w:rPr>
          <w:color w:val="002060"/>
        </w:rPr>
        <w:tab/>
        <w:t>heeft geen franchiseactiviteiten;</w:t>
      </w:r>
    </w:p>
    <w:p w14:paraId="79C8BE8F" w14:textId="77777777" w:rsidR="0062475E" w:rsidRPr="00211D75" w:rsidRDefault="0062475E" w:rsidP="0062475E">
      <w:pPr>
        <w:pStyle w:val="Geenafstand"/>
        <w:rPr>
          <w:color w:val="002060"/>
        </w:rPr>
      </w:pPr>
      <w:r w:rsidRPr="00211D75">
        <w:rPr>
          <w:color w:val="002060"/>
        </w:rPr>
        <w:t>•</w:t>
      </w:r>
      <w:r w:rsidRPr="00211D75">
        <w:rPr>
          <w:color w:val="002060"/>
        </w:rPr>
        <w:tab/>
        <w:t>is geen A-leverancier van een ander bedrijf binnen hetzelfde concern/ holding;</w:t>
      </w:r>
    </w:p>
    <w:p w14:paraId="25437786" w14:textId="77777777" w:rsidR="0062475E" w:rsidRPr="00211D75" w:rsidRDefault="0062475E" w:rsidP="0062475E">
      <w:pPr>
        <w:pStyle w:val="Geenafstand"/>
        <w:rPr>
          <w:color w:val="002060"/>
        </w:rPr>
      </w:pPr>
      <w:r w:rsidRPr="00211D75">
        <w:rPr>
          <w:color w:val="002060"/>
        </w:rPr>
        <w:t>•</w:t>
      </w:r>
      <w:r w:rsidRPr="00211D75">
        <w:rPr>
          <w:color w:val="002060"/>
        </w:rPr>
        <w:tab/>
        <w:t>heeft geen A-leveranciers die tevens concern-aanbieders zijn.</w:t>
      </w:r>
    </w:p>
    <w:p w14:paraId="284D2806" w14:textId="77777777" w:rsidR="0062475E" w:rsidRPr="00211D75" w:rsidRDefault="0062475E" w:rsidP="0062475E">
      <w:pPr>
        <w:pStyle w:val="Geenafstand"/>
        <w:rPr>
          <w:color w:val="002060"/>
        </w:rPr>
      </w:pPr>
    </w:p>
    <w:p w14:paraId="33052793" w14:textId="77777777" w:rsidR="0062475E" w:rsidRPr="00211D75" w:rsidRDefault="0062475E" w:rsidP="0062475E">
      <w:pPr>
        <w:pStyle w:val="Geenafstand"/>
        <w:rPr>
          <w:color w:val="002060"/>
        </w:rPr>
      </w:pPr>
      <w:r w:rsidRPr="00211D75">
        <w:rPr>
          <w:color w:val="002060"/>
        </w:rPr>
        <w:t xml:space="preserve">Handelsonderneming van Schaik Langbroek BV heeft geen eigen uitstoot en </w:t>
      </w:r>
      <w:proofErr w:type="spellStart"/>
      <w:r w:rsidRPr="00211D75">
        <w:rPr>
          <w:color w:val="002060"/>
        </w:rPr>
        <w:t>Lunros</w:t>
      </w:r>
      <w:proofErr w:type="spellEnd"/>
      <w:r w:rsidRPr="00211D75">
        <w:rPr>
          <w:color w:val="002060"/>
        </w:rPr>
        <w:t xml:space="preserve"> BV is een financiële holding. Deze organisatieonderdelen maken geen onderdeel uit van de 80% inkoopomzet van Handelsonderneming van Schaik Ingen BV.</w:t>
      </w:r>
    </w:p>
    <w:p w14:paraId="05B83881" w14:textId="77777777" w:rsidR="008832D4" w:rsidRDefault="008832D4" w:rsidP="008832D4">
      <w:pPr>
        <w:rPr>
          <w:b/>
          <w:bCs/>
          <w:color w:val="002060"/>
        </w:rPr>
      </w:pPr>
      <w:bookmarkStart w:id="5" w:name="_Toc88559539"/>
    </w:p>
    <w:p w14:paraId="1AC7AF25" w14:textId="1216BC45" w:rsidR="0062475E" w:rsidRPr="008832D4" w:rsidRDefault="0062475E" w:rsidP="008832D4">
      <w:pPr>
        <w:rPr>
          <w:b/>
          <w:bCs/>
          <w:color w:val="002060"/>
        </w:rPr>
      </w:pPr>
      <w:r w:rsidRPr="00006D98">
        <w:rPr>
          <w:b/>
          <w:bCs/>
          <w:color w:val="002060"/>
        </w:rPr>
        <w:t>Directe en indirecte GHG-emissies</w:t>
      </w:r>
      <w:bookmarkEnd w:id="5"/>
      <w:r w:rsidR="008832D4">
        <w:rPr>
          <w:b/>
          <w:bCs/>
          <w:color w:val="002060"/>
        </w:rPr>
        <w:br/>
      </w:r>
      <w:r w:rsidRPr="00ED0528">
        <w:t>In dit hoofdstuk worden de berekende GHG-emissies toegelicht.</w:t>
      </w:r>
    </w:p>
    <w:p w14:paraId="2CB1D702" w14:textId="77777777" w:rsidR="0062475E" w:rsidRPr="00211D75" w:rsidRDefault="0062475E" w:rsidP="0062475E">
      <w:pPr>
        <w:pStyle w:val="Geenafstand"/>
        <w:rPr>
          <w:b/>
          <w:color w:val="002060"/>
        </w:rPr>
      </w:pPr>
      <w:r w:rsidRPr="00211D75">
        <w:rPr>
          <w:b/>
          <w:color w:val="002060"/>
        </w:rPr>
        <w:t>Berekende GHG-emissies</w:t>
      </w:r>
    </w:p>
    <w:p w14:paraId="3D92234C" w14:textId="3F025A7D" w:rsidR="0062475E" w:rsidRPr="00211D75" w:rsidRDefault="0062475E" w:rsidP="0062475E">
      <w:pPr>
        <w:pStyle w:val="Geenafstand"/>
        <w:rPr>
          <w:color w:val="002060"/>
        </w:rPr>
      </w:pPr>
      <w:r w:rsidRPr="00211D75">
        <w:rPr>
          <w:color w:val="002060"/>
        </w:rPr>
        <w:t>De directe en indirecte GHG-emissie bedroeg in 202</w:t>
      </w:r>
      <w:r w:rsidR="002A7995">
        <w:rPr>
          <w:color w:val="002060"/>
        </w:rPr>
        <w:t>5</w:t>
      </w:r>
      <w:r w:rsidRPr="00211D75">
        <w:rPr>
          <w:color w:val="002060"/>
        </w:rPr>
        <w:t xml:space="preserve"> </w:t>
      </w:r>
      <w:r w:rsidR="002A7995">
        <w:rPr>
          <w:color w:val="002060"/>
        </w:rPr>
        <w:t>194,84</w:t>
      </w:r>
      <w:r>
        <w:rPr>
          <w:color w:val="002060"/>
        </w:rPr>
        <w:t xml:space="preserve"> </w:t>
      </w:r>
      <w:r w:rsidRPr="00211D75">
        <w:rPr>
          <w:color w:val="002060"/>
        </w:rPr>
        <w:t xml:space="preserve">ton CO2. Hiervan werd </w:t>
      </w:r>
      <w:r w:rsidR="00E47D32">
        <w:rPr>
          <w:color w:val="002060"/>
        </w:rPr>
        <w:t>188,95</w:t>
      </w:r>
      <w:r w:rsidRPr="00211D75">
        <w:rPr>
          <w:color w:val="002060"/>
        </w:rPr>
        <w:t xml:space="preserve"> ton CO2 veroorzaakt door directe GHG-emissie (scope 1) en </w:t>
      </w:r>
      <w:r w:rsidR="00E47D32">
        <w:rPr>
          <w:color w:val="002060"/>
        </w:rPr>
        <w:t>5,89</w:t>
      </w:r>
      <w:r>
        <w:rPr>
          <w:color w:val="002060"/>
        </w:rPr>
        <w:t xml:space="preserve"> </w:t>
      </w:r>
      <w:r w:rsidRPr="00211D75">
        <w:rPr>
          <w:color w:val="002060"/>
        </w:rPr>
        <w:t xml:space="preserve">ton CO2 door indirecte GHG-emissie (scope 2), 0 ton CO2 door indirecte GHG-emissie (business </w:t>
      </w:r>
      <w:proofErr w:type="spellStart"/>
      <w:r w:rsidRPr="00211D75">
        <w:rPr>
          <w:color w:val="002060"/>
        </w:rPr>
        <w:t>travel</w:t>
      </w:r>
      <w:proofErr w:type="spellEnd"/>
      <w:r w:rsidRPr="00211D75">
        <w:rPr>
          <w:color w:val="002060"/>
        </w:rPr>
        <w:t xml:space="preserve"> scope 3)</w:t>
      </w:r>
    </w:p>
    <w:p w14:paraId="2A60DD99" w14:textId="01936CF1" w:rsidR="0062475E" w:rsidRPr="00211D75" w:rsidRDefault="0062475E" w:rsidP="0062475E">
      <w:pPr>
        <w:pStyle w:val="Geenafstand"/>
        <w:rPr>
          <w:i/>
          <w:color w:val="002060"/>
        </w:rPr>
      </w:pPr>
      <w:r w:rsidRPr="00211D75">
        <w:rPr>
          <w:i/>
          <w:color w:val="002060"/>
        </w:rPr>
        <w:t>Bron 2.0 CO2 footprint 202</w:t>
      </w:r>
      <w:r w:rsidR="00E47D32">
        <w:rPr>
          <w:i/>
          <w:color w:val="002060"/>
        </w:rPr>
        <w:t>5</w:t>
      </w:r>
    </w:p>
    <w:p w14:paraId="6121F8E4" w14:textId="77777777" w:rsidR="0062475E" w:rsidRPr="00211D75" w:rsidRDefault="0062475E" w:rsidP="0062475E">
      <w:pPr>
        <w:pStyle w:val="Geenafstand"/>
        <w:rPr>
          <w:color w:val="002060"/>
        </w:rPr>
      </w:pPr>
    </w:p>
    <w:p w14:paraId="6F563983" w14:textId="77777777" w:rsidR="0062475E" w:rsidRPr="00211D75" w:rsidRDefault="0062475E" w:rsidP="0062475E">
      <w:pPr>
        <w:pStyle w:val="Geenafstand"/>
        <w:rPr>
          <w:b/>
          <w:color w:val="002060"/>
        </w:rPr>
      </w:pPr>
      <w:r w:rsidRPr="00211D75">
        <w:rPr>
          <w:b/>
          <w:color w:val="002060"/>
        </w:rPr>
        <w:t>Scope 1</w:t>
      </w:r>
    </w:p>
    <w:p w14:paraId="59E94C00" w14:textId="53B8CD35" w:rsidR="0062475E" w:rsidRPr="00211D75" w:rsidRDefault="0062475E" w:rsidP="0062475E">
      <w:pPr>
        <w:pStyle w:val="Geenafstand"/>
        <w:rPr>
          <w:color w:val="002060"/>
        </w:rPr>
      </w:pPr>
      <w:r w:rsidRPr="00211D75">
        <w:rPr>
          <w:color w:val="002060"/>
        </w:rPr>
        <w:t xml:space="preserve">De emissies binnen scope 1 die bij onze bedrijfsvoering voorkomen zijn propaangas, benzine voor werktuigen en diesel. </w:t>
      </w:r>
    </w:p>
    <w:p w14:paraId="66158E1D" w14:textId="77777777" w:rsidR="0062475E" w:rsidRPr="00211D75" w:rsidRDefault="0062475E" w:rsidP="0062475E">
      <w:pPr>
        <w:pStyle w:val="Geenafstand"/>
        <w:rPr>
          <w:color w:val="002060"/>
        </w:rPr>
      </w:pPr>
    </w:p>
    <w:p w14:paraId="63F9E0E0" w14:textId="77777777" w:rsidR="0062475E" w:rsidRPr="00211D75" w:rsidRDefault="0062475E" w:rsidP="0062475E">
      <w:pPr>
        <w:pStyle w:val="Geenafstand"/>
        <w:rPr>
          <w:b/>
          <w:color w:val="002060"/>
        </w:rPr>
      </w:pPr>
      <w:r w:rsidRPr="00211D75">
        <w:rPr>
          <w:b/>
          <w:color w:val="002060"/>
        </w:rPr>
        <w:t>Scope 2</w:t>
      </w:r>
    </w:p>
    <w:p w14:paraId="0434D243" w14:textId="77777777" w:rsidR="0062475E" w:rsidRPr="00211D75" w:rsidRDefault="0062475E" w:rsidP="0062475E">
      <w:pPr>
        <w:pStyle w:val="Geenafstand"/>
        <w:rPr>
          <w:color w:val="002060"/>
        </w:rPr>
      </w:pPr>
      <w:r w:rsidRPr="00211D75">
        <w:rPr>
          <w:color w:val="002060"/>
        </w:rPr>
        <w:t>Er wordt gebruikt gemaakt van grijze en groene stroom. Het betreft 2 leveradressen; 1 adres betreft de loodsen en werkplaat</w:t>
      </w:r>
      <w:r>
        <w:rPr>
          <w:color w:val="002060"/>
        </w:rPr>
        <w:t>s dit is een combinatie van groene en grijze stroo</w:t>
      </w:r>
      <w:r w:rsidRPr="00211D75">
        <w:rPr>
          <w:color w:val="002060"/>
        </w:rPr>
        <w:t>m.</w:t>
      </w:r>
      <w:r>
        <w:rPr>
          <w:color w:val="002060"/>
        </w:rPr>
        <w:t xml:space="preserve"> Voor dit adres hanteren we een percentage van 80% voor zakelijk gebruik van de totaal gefactureerde kWh.</w:t>
      </w:r>
      <w:r w:rsidRPr="00211D75">
        <w:rPr>
          <w:color w:val="002060"/>
        </w:rPr>
        <w:t xml:space="preserve"> 1 adres betreft het kantoor en de woning, dit is </w:t>
      </w:r>
      <w:r>
        <w:rPr>
          <w:color w:val="002060"/>
        </w:rPr>
        <w:t xml:space="preserve">wederom een combinatie van grijze en groene </w:t>
      </w:r>
      <w:r w:rsidRPr="00211D75">
        <w:rPr>
          <w:color w:val="002060"/>
        </w:rPr>
        <w:t xml:space="preserve">stroom. Voor dit laatste adres hanteren we een percentage van 30% voor zakelijk gebruik van de totaal gefactureerde kWh. </w:t>
      </w:r>
    </w:p>
    <w:p w14:paraId="7973027E" w14:textId="77777777" w:rsidR="0062475E" w:rsidRPr="00211D75" w:rsidRDefault="0062475E" w:rsidP="0062475E">
      <w:pPr>
        <w:pStyle w:val="Geenafstand"/>
        <w:rPr>
          <w:b/>
          <w:color w:val="002060"/>
        </w:rPr>
      </w:pPr>
    </w:p>
    <w:p w14:paraId="4C3397C8" w14:textId="77777777" w:rsidR="0062475E" w:rsidRPr="00211D75" w:rsidRDefault="0062475E" w:rsidP="0062475E">
      <w:pPr>
        <w:pStyle w:val="Geenafstand"/>
        <w:rPr>
          <w:b/>
          <w:color w:val="002060"/>
        </w:rPr>
      </w:pPr>
      <w:r w:rsidRPr="00211D75">
        <w:rPr>
          <w:b/>
          <w:color w:val="002060"/>
        </w:rPr>
        <w:t>Scope 3</w:t>
      </w:r>
    </w:p>
    <w:p w14:paraId="72529ECE" w14:textId="77777777" w:rsidR="0062475E" w:rsidRPr="00211D75" w:rsidRDefault="0062475E" w:rsidP="0062475E">
      <w:pPr>
        <w:pStyle w:val="Geenafstand"/>
        <w:rPr>
          <w:color w:val="002060"/>
        </w:rPr>
      </w:pPr>
      <w:r w:rsidRPr="00211D75">
        <w:rPr>
          <w:color w:val="002060"/>
        </w:rPr>
        <w:t xml:space="preserve">Emissies in deze categorie zijn voor ons niet van toepassing. </w:t>
      </w:r>
    </w:p>
    <w:p w14:paraId="66A34C28" w14:textId="77777777" w:rsidR="0062475E" w:rsidRPr="00211D75" w:rsidRDefault="0062475E" w:rsidP="0062475E">
      <w:pPr>
        <w:pStyle w:val="Geenafstand"/>
        <w:rPr>
          <w:color w:val="002060"/>
        </w:rPr>
      </w:pPr>
    </w:p>
    <w:p w14:paraId="21AD762C" w14:textId="77777777" w:rsidR="0062475E" w:rsidRPr="00211D75" w:rsidRDefault="0062475E" w:rsidP="0062475E">
      <w:pPr>
        <w:pStyle w:val="Geenafstand"/>
        <w:rPr>
          <w:b/>
          <w:color w:val="002060"/>
        </w:rPr>
      </w:pPr>
      <w:r w:rsidRPr="00211D75">
        <w:rPr>
          <w:b/>
          <w:color w:val="002060"/>
        </w:rPr>
        <w:t>Bedrijfsgrootte</w:t>
      </w:r>
    </w:p>
    <w:p w14:paraId="169B2F15" w14:textId="164EDC7D" w:rsidR="0062475E" w:rsidRPr="00211D75" w:rsidRDefault="0062475E" w:rsidP="0062475E">
      <w:pPr>
        <w:pStyle w:val="Geenafstand"/>
        <w:rPr>
          <w:color w:val="002060"/>
        </w:rPr>
      </w:pPr>
      <w:r w:rsidRPr="00211D75">
        <w:rPr>
          <w:color w:val="002060"/>
        </w:rPr>
        <w:t xml:space="preserve">De totale emissie bedraagt </w:t>
      </w:r>
      <w:r w:rsidR="009A6954">
        <w:rPr>
          <w:color w:val="002060"/>
        </w:rPr>
        <w:t>194</w:t>
      </w:r>
      <w:r w:rsidR="00D62212">
        <w:rPr>
          <w:color w:val="002060"/>
        </w:rPr>
        <w:t>,84</w:t>
      </w:r>
      <w:r w:rsidRPr="00211D75">
        <w:rPr>
          <w:color w:val="002060"/>
        </w:rPr>
        <w:t xml:space="preserve"> ton, waarvan </w:t>
      </w:r>
      <w:r w:rsidR="00D62212">
        <w:rPr>
          <w:color w:val="002060"/>
        </w:rPr>
        <w:t>5,89</w:t>
      </w:r>
      <w:r w:rsidRPr="00211D75">
        <w:rPr>
          <w:color w:val="002060"/>
        </w:rPr>
        <w:t xml:space="preserve"> ton kantoor</w:t>
      </w:r>
      <w:r>
        <w:rPr>
          <w:color w:val="002060"/>
        </w:rPr>
        <w:t xml:space="preserve"> en werkplaats/loodsen</w:t>
      </w:r>
      <w:r w:rsidRPr="00211D75">
        <w:rPr>
          <w:color w:val="002060"/>
        </w:rPr>
        <w:t xml:space="preserve"> (stroom Eneco) en </w:t>
      </w:r>
      <w:r w:rsidR="00D62212">
        <w:rPr>
          <w:color w:val="002060"/>
        </w:rPr>
        <w:t>188,95</w:t>
      </w:r>
      <w:r w:rsidRPr="00247FE4">
        <w:rPr>
          <w:color w:val="002060"/>
        </w:rPr>
        <w:t xml:space="preserve"> ton voor werken (benzine en Diesel GP Groot). De bijbehorende bedrijfsgrootte</w:t>
      </w:r>
      <w:r w:rsidRPr="00211D75">
        <w:rPr>
          <w:color w:val="002060"/>
        </w:rPr>
        <w:t xml:space="preserve"> volgens de criteria van tabel 4.1 van het handboek versie 3.1 is ‘klein’.</w:t>
      </w:r>
    </w:p>
    <w:p w14:paraId="5A69FBD7" w14:textId="77777777" w:rsidR="0062475E" w:rsidRPr="00211D75" w:rsidRDefault="0062475E" w:rsidP="0062475E">
      <w:pPr>
        <w:pStyle w:val="Geenafstand"/>
        <w:rPr>
          <w:color w:val="002060"/>
        </w:rPr>
      </w:pPr>
    </w:p>
    <w:p w14:paraId="2EEF3E53" w14:textId="77777777" w:rsidR="0062475E" w:rsidRPr="00211D75" w:rsidRDefault="0062475E" w:rsidP="0062475E">
      <w:pPr>
        <w:pStyle w:val="Geenafstand"/>
        <w:rPr>
          <w:b/>
          <w:color w:val="002060"/>
        </w:rPr>
      </w:pPr>
      <w:r w:rsidRPr="00211D75">
        <w:rPr>
          <w:b/>
          <w:color w:val="002060"/>
        </w:rPr>
        <w:t>Verificatie</w:t>
      </w:r>
    </w:p>
    <w:p w14:paraId="2B36BA1D" w14:textId="77777777" w:rsidR="0062475E" w:rsidRPr="00211D75" w:rsidRDefault="0062475E" w:rsidP="0062475E">
      <w:pPr>
        <w:pStyle w:val="Geenafstand"/>
        <w:rPr>
          <w:color w:val="002060"/>
        </w:rPr>
      </w:pPr>
      <w:r w:rsidRPr="00211D75">
        <w:rPr>
          <w:color w:val="002060"/>
        </w:rPr>
        <w:t xml:space="preserve">De emissie-inventaris zal door onze CI worden geverifieerd. </w:t>
      </w:r>
    </w:p>
    <w:p w14:paraId="6D8EBAB5" w14:textId="77777777" w:rsidR="0062475E" w:rsidRPr="00211D75" w:rsidRDefault="0062475E" w:rsidP="0062475E">
      <w:pPr>
        <w:pStyle w:val="Geenafstand"/>
        <w:rPr>
          <w:color w:val="002060"/>
        </w:rPr>
      </w:pPr>
    </w:p>
    <w:p w14:paraId="179D993C" w14:textId="77777777" w:rsidR="0062475E" w:rsidRPr="00211D75" w:rsidRDefault="0062475E" w:rsidP="0062475E">
      <w:pPr>
        <w:pStyle w:val="Geenafstand"/>
        <w:rPr>
          <w:b/>
          <w:color w:val="002060"/>
        </w:rPr>
      </w:pPr>
      <w:r w:rsidRPr="00211D75">
        <w:rPr>
          <w:b/>
          <w:color w:val="002060"/>
        </w:rPr>
        <w:t>Verbranding biomassa</w:t>
      </w:r>
    </w:p>
    <w:p w14:paraId="140C406E" w14:textId="03B70070" w:rsidR="0062475E" w:rsidRPr="00211D75" w:rsidRDefault="0062475E" w:rsidP="0062475E">
      <w:pPr>
        <w:pStyle w:val="Geenafstand"/>
        <w:rPr>
          <w:color w:val="002060"/>
        </w:rPr>
      </w:pPr>
      <w:r w:rsidRPr="00211D75">
        <w:rPr>
          <w:color w:val="002060"/>
        </w:rPr>
        <w:t>Verbranding van biomassa vond niet plaats bij Handelsonderneming van Schaik Ingen BV in 202</w:t>
      </w:r>
      <w:r w:rsidR="00D62212">
        <w:rPr>
          <w:color w:val="002060"/>
        </w:rPr>
        <w:t>5</w:t>
      </w:r>
      <w:r w:rsidRPr="00211D75">
        <w:rPr>
          <w:color w:val="002060"/>
        </w:rPr>
        <w:t>.</w:t>
      </w:r>
    </w:p>
    <w:p w14:paraId="35108731" w14:textId="77777777" w:rsidR="0062475E" w:rsidRPr="00211D75" w:rsidRDefault="0062475E" w:rsidP="0062475E">
      <w:pPr>
        <w:pStyle w:val="Geenafstand"/>
        <w:rPr>
          <w:color w:val="002060"/>
        </w:rPr>
      </w:pPr>
    </w:p>
    <w:p w14:paraId="03C2DB28" w14:textId="77777777" w:rsidR="0062475E" w:rsidRPr="00211D75" w:rsidRDefault="0062475E" w:rsidP="0062475E">
      <w:pPr>
        <w:pStyle w:val="Geenafstand"/>
        <w:rPr>
          <w:b/>
          <w:color w:val="002060"/>
        </w:rPr>
      </w:pPr>
      <w:r w:rsidRPr="00211D75">
        <w:rPr>
          <w:b/>
          <w:color w:val="002060"/>
        </w:rPr>
        <w:t>GHG-verwijderingen</w:t>
      </w:r>
    </w:p>
    <w:p w14:paraId="655E3910" w14:textId="5AEE8848" w:rsidR="0062475E" w:rsidRPr="00211D75" w:rsidRDefault="0062475E" w:rsidP="0062475E">
      <w:pPr>
        <w:pStyle w:val="Geenafstand"/>
        <w:rPr>
          <w:color w:val="002060"/>
        </w:rPr>
      </w:pPr>
      <w:r w:rsidRPr="00211D75">
        <w:rPr>
          <w:color w:val="002060"/>
        </w:rPr>
        <w:t>Er heeft geen broeikasgasverwijdering of compensatie plaats gevonden bij Handelsonderneming van Schaik Ingen BV in 202</w:t>
      </w:r>
      <w:r w:rsidR="00D62212">
        <w:rPr>
          <w:color w:val="002060"/>
        </w:rPr>
        <w:t>5</w:t>
      </w:r>
      <w:r w:rsidRPr="00211D75">
        <w:rPr>
          <w:color w:val="002060"/>
        </w:rPr>
        <w:t>.</w:t>
      </w:r>
    </w:p>
    <w:p w14:paraId="6AC0091B" w14:textId="77777777" w:rsidR="0062475E" w:rsidRPr="00211D75" w:rsidRDefault="0062475E" w:rsidP="0062475E">
      <w:pPr>
        <w:pStyle w:val="Geenafstand"/>
        <w:rPr>
          <w:color w:val="002060"/>
        </w:rPr>
      </w:pPr>
    </w:p>
    <w:p w14:paraId="642A3908" w14:textId="77777777" w:rsidR="0062475E" w:rsidRPr="00211D75" w:rsidRDefault="0062475E" w:rsidP="0062475E">
      <w:pPr>
        <w:pStyle w:val="Geenafstand"/>
        <w:rPr>
          <w:b/>
          <w:color w:val="002060"/>
        </w:rPr>
      </w:pPr>
      <w:r w:rsidRPr="00211D75">
        <w:rPr>
          <w:b/>
          <w:color w:val="002060"/>
        </w:rPr>
        <w:t>Uitzonderingen</w:t>
      </w:r>
    </w:p>
    <w:p w14:paraId="42DADB25" w14:textId="77777777" w:rsidR="0062475E" w:rsidRPr="00211D75" w:rsidRDefault="0062475E" w:rsidP="0062475E">
      <w:pPr>
        <w:pStyle w:val="Geenafstand"/>
        <w:rPr>
          <w:color w:val="002060"/>
        </w:rPr>
      </w:pPr>
      <w:r w:rsidRPr="00211D75">
        <w:rPr>
          <w:color w:val="002060"/>
        </w:rPr>
        <w:t>Er zijn geen noemenswaardige uitzonderingen te noemen op het GHG-protocol.</w:t>
      </w:r>
    </w:p>
    <w:p w14:paraId="61160237" w14:textId="77777777" w:rsidR="0062475E" w:rsidRPr="00211D75" w:rsidRDefault="0062475E" w:rsidP="0062475E">
      <w:pPr>
        <w:pStyle w:val="Geenafstand"/>
        <w:rPr>
          <w:color w:val="002060"/>
        </w:rPr>
      </w:pPr>
    </w:p>
    <w:p w14:paraId="245FE7C7" w14:textId="77777777" w:rsidR="0062475E" w:rsidRPr="00211D75" w:rsidRDefault="0062475E" w:rsidP="0062475E">
      <w:pPr>
        <w:pStyle w:val="Geenafstand"/>
        <w:rPr>
          <w:b/>
          <w:color w:val="002060"/>
        </w:rPr>
      </w:pPr>
      <w:r w:rsidRPr="00211D75">
        <w:rPr>
          <w:b/>
          <w:color w:val="002060"/>
        </w:rPr>
        <w:t xml:space="preserve">Belangrijkste </w:t>
      </w:r>
      <w:proofErr w:type="spellStart"/>
      <w:r w:rsidRPr="00211D75">
        <w:rPr>
          <w:b/>
          <w:color w:val="002060"/>
        </w:rPr>
        <w:t>beïnvloeders</w:t>
      </w:r>
      <w:proofErr w:type="spellEnd"/>
    </w:p>
    <w:p w14:paraId="0E4B7112" w14:textId="77777777" w:rsidR="0062475E" w:rsidRPr="00211D75" w:rsidRDefault="0062475E" w:rsidP="0062475E">
      <w:pPr>
        <w:pStyle w:val="Geenafstand"/>
        <w:rPr>
          <w:color w:val="002060"/>
        </w:rPr>
      </w:pPr>
      <w:r w:rsidRPr="00211D75">
        <w:rPr>
          <w:color w:val="002060"/>
        </w:rPr>
        <w:t>Binnen Handelsonderneming van Schaik Ingen BV zijn geen individuele personen te benoemen die een dermate invloed op de CO2 footprint hebben dat gedragsverandering van deze individuele persoon alleen al zou zorgen voor een significante verandering in de CO2 footprint.</w:t>
      </w:r>
    </w:p>
    <w:p w14:paraId="7F3D86B8" w14:textId="77777777" w:rsidR="0062475E" w:rsidRPr="00211D75" w:rsidRDefault="0062475E" w:rsidP="0062475E">
      <w:pPr>
        <w:pStyle w:val="Geenafstand"/>
        <w:rPr>
          <w:color w:val="002060"/>
        </w:rPr>
      </w:pPr>
    </w:p>
    <w:p w14:paraId="7666301C" w14:textId="77777777" w:rsidR="0062475E" w:rsidRPr="00211D75" w:rsidRDefault="0062475E" w:rsidP="0062475E">
      <w:pPr>
        <w:pStyle w:val="Geenafstand"/>
        <w:rPr>
          <w:b/>
          <w:color w:val="002060"/>
        </w:rPr>
      </w:pPr>
      <w:r w:rsidRPr="00211D75">
        <w:rPr>
          <w:b/>
          <w:color w:val="002060"/>
        </w:rPr>
        <w:t>Toekomst</w:t>
      </w:r>
    </w:p>
    <w:p w14:paraId="49509855" w14:textId="3111B378" w:rsidR="0062475E" w:rsidRPr="00211D75" w:rsidRDefault="0062475E" w:rsidP="0062475E">
      <w:pPr>
        <w:pStyle w:val="Geenafstand"/>
        <w:rPr>
          <w:color w:val="002060"/>
        </w:rPr>
      </w:pPr>
      <w:r w:rsidRPr="00211D75">
        <w:rPr>
          <w:color w:val="002060"/>
        </w:rPr>
        <w:t>De emissies in de paragrafen hierboven zijn vastgesteld voor het jaar 202</w:t>
      </w:r>
      <w:r w:rsidR="00D62212">
        <w:rPr>
          <w:color w:val="002060"/>
        </w:rPr>
        <w:t>5</w:t>
      </w:r>
      <w:r w:rsidRPr="00211D75">
        <w:rPr>
          <w:color w:val="002060"/>
        </w:rPr>
        <w:t>. De verwachting is dat deze emissie in het komende jaar, 202</w:t>
      </w:r>
      <w:r w:rsidR="00D62212">
        <w:rPr>
          <w:color w:val="002060"/>
        </w:rPr>
        <w:t>6</w:t>
      </w:r>
      <w:r w:rsidRPr="00211D75">
        <w:rPr>
          <w:color w:val="002060"/>
        </w:rPr>
        <w:t xml:space="preserve">, niet aan grote verandering onderhevig zal zijn. Wel zal, gezien de doelstellingen van Handelsonderneming van Schaik Ingen BV, </w:t>
      </w:r>
      <w:r w:rsidRPr="00247FE4">
        <w:rPr>
          <w:color w:val="002060"/>
        </w:rPr>
        <w:t xml:space="preserve">de CO2 uitstoot met </w:t>
      </w:r>
      <w:r w:rsidR="00D62212">
        <w:rPr>
          <w:color w:val="002060"/>
        </w:rPr>
        <w:t>3</w:t>
      </w:r>
      <w:r w:rsidRPr="00247FE4">
        <w:rPr>
          <w:color w:val="002060"/>
        </w:rPr>
        <w:t>% dalen.</w:t>
      </w:r>
      <w:r w:rsidRPr="00211D75">
        <w:rPr>
          <w:color w:val="002060"/>
        </w:rPr>
        <w:t xml:space="preserve"> </w:t>
      </w:r>
    </w:p>
    <w:p w14:paraId="33F0DFF4" w14:textId="77777777" w:rsidR="0062475E" w:rsidRPr="00211D75" w:rsidRDefault="0062475E" w:rsidP="0062475E">
      <w:pPr>
        <w:pStyle w:val="Geenafstand"/>
        <w:rPr>
          <w:color w:val="002060"/>
        </w:rPr>
      </w:pPr>
    </w:p>
    <w:p w14:paraId="3ACC5CC5" w14:textId="77777777" w:rsidR="0062475E" w:rsidRPr="00211D75" w:rsidRDefault="0062475E" w:rsidP="0062475E">
      <w:pPr>
        <w:pStyle w:val="Geenafstand"/>
        <w:rPr>
          <w:b/>
          <w:color w:val="002060"/>
        </w:rPr>
      </w:pPr>
      <w:r w:rsidRPr="00211D75">
        <w:rPr>
          <w:b/>
          <w:color w:val="002060"/>
        </w:rPr>
        <w:t>Significante veranderingen</w:t>
      </w:r>
    </w:p>
    <w:p w14:paraId="4D0FD632" w14:textId="2AE7C36F" w:rsidR="0062475E" w:rsidRPr="00211D75" w:rsidRDefault="0062475E" w:rsidP="0062475E">
      <w:pPr>
        <w:pStyle w:val="Geenafstand"/>
        <w:rPr>
          <w:color w:val="002060"/>
        </w:rPr>
      </w:pPr>
      <w:r w:rsidRPr="00211D75">
        <w:rPr>
          <w:color w:val="002060"/>
        </w:rPr>
        <w:t>Zoals in hoofdstuk 4 beschreven geldt 2020 als basisjaar. In deze paragraaf worden al de eerste veranderingen gepresenteerd van 202</w:t>
      </w:r>
      <w:r w:rsidR="00D62212">
        <w:rPr>
          <w:color w:val="002060"/>
        </w:rPr>
        <w:t>5</w:t>
      </w:r>
      <w:r w:rsidRPr="00211D75">
        <w:rPr>
          <w:color w:val="002060"/>
        </w:rPr>
        <w:t xml:space="preserve"> t.o.v. 2020.</w:t>
      </w:r>
    </w:p>
    <w:p w14:paraId="739913D4" w14:textId="77777777" w:rsidR="0062475E" w:rsidRPr="00211D75" w:rsidRDefault="0062475E" w:rsidP="0062475E">
      <w:pPr>
        <w:pStyle w:val="Geenafstand"/>
        <w:rPr>
          <w:color w:val="002060"/>
        </w:rPr>
      </w:pPr>
    </w:p>
    <w:tbl>
      <w:tblPr>
        <w:tblStyle w:val="Tabelraster"/>
        <w:tblW w:w="0" w:type="auto"/>
        <w:tblInd w:w="-5" w:type="dxa"/>
        <w:tblLook w:val="04A0" w:firstRow="1" w:lastRow="0" w:firstColumn="1" w:lastColumn="0" w:noHBand="0" w:noVBand="1"/>
      </w:tblPr>
      <w:tblGrid>
        <w:gridCol w:w="4390"/>
        <w:gridCol w:w="1134"/>
        <w:gridCol w:w="1134"/>
      </w:tblGrid>
      <w:tr w:rsidR="0062475E" w:rsidRPr="0054527E" w14:paraId="1ED7B0B5" w14:textId="77777777" w:rsidTr="001A1097">
        <w:tc>
          <w:tcPr>
            <w:tcW w:w="4390" w:type="dxa"/>
            <w:shd w:val="clear" w:color="auto" w:fill="0B3B60"/>
          </w:tcPr>
          <w:p w14:paraId="529A99C9" w14:textId="77777777" w:rsidR="0062475E" w:rsidRPr="0054527E" w:rsidRDefault="0062475E" w:rsidP="001A1097">
            <w:pPr>
              <w:pStyle w:val="Geenafstand"/>
              <w:rPr>
                <w:b/>
                <w:color w:val="FFFFFF" w:themeColor="background1"/>
              </w:rPr>
            </w:pPr>
            <w:r w:rsidRPr="0054527E">
              <w:rPr>
                <w:b/>
                <w:color w:val="FFFFFF" w:themeColor="background1"/>
              </w:rPr>
              <w:t>Scope 1</w:t>
            </w:r>
          </w:p>
        </w:tc>
        <w:tc>
          <w:tcPr>
            <w:tcW w:w="1134" w:type="dxa"/>
            <w:shd w:val="clear" w:color="auto" w:fill="0B3B60"/>
          </w:tcPr>
          <w:p w14:paraId="100A91E8" w14:textId="77777777" w:rsidR="0062475E" w:rsidRPr="0054527E" w:rsidRDefault="0062475E" w:rsidP="001A1097">
            <w:pPr>
              <w:pStyle w:val="Geenafstand"/>
              <w:rPr>
                <w:b/>
                <w:color w:val="FFFFFF" w:themeColor="background1"/>
              </w:rPr>
            </w:pPr>
            <w:r w:rsidRPr="0054527E">
              <w:rPr>
                <w:b/>
                <w:color w:val="FFFFFF" w:themeColor="background1"/>
              </w:rPr>
              <w:t>20</w:t>
            </w:r>
            <w:r>
              <w:rPr>
                <w:b/>
                <w:color w:val="FFFFFF" w:themeColor="background1"/>
              </w:rPr>
              <w:t>20</w:t>
            </w:r>
          </w:p>
        </w:tc>
        <w:tc>
          <w:tcPr>
            <w:tcW w:w="1134" w:type="dxa"/>
            <w:shd w:val="clear" w:color="auto" w:fill="0B3B60"/>
          </w:tcPr>
          <w:p w14:paraId="008C3B9D" w14:textId="2BBF174A" w:rsidR="0062475E" w:rsidRPr="0054527E" w:rsidRDefault="0062475E" w:rsidP="001A1097">
            <w:pPr>
              <w:pStyle w:val="Geenafstand"/>
              <w:rPr>
                <w:b/>
                <w:color w:val="FFFFFF" w:themeColor="background1"/>
              </w:rPr>
            </w:pPr>
            <w:r>
              <w:rPr>
                <w:b/>
                <w:color w:val="FFFFFF" w:themeColor="background1"/>
              </w:rPr>
              <w:t>202</w:t>
            </w:r>
            <w:r w:rsidR="007A3B1C">
              <w:rPr>
                <w:b/>
                <w:color w:val="FFFFFF" w:themeColor="background1"/>
              </w:rPr>
              <w:t>5</w:t>
            </w:r>
          </w:p>
        </w:tc>
      </w:tr>
      <w:tr w:rsidR="0062475E" w14:paraId="69041938" w14:textId="77777777" w:rsidTr="001A1097">
        <w:tc>
          <w:tcPr>
            <w:tcW w:w="4390" w:type="dxa"/>
          </w:tcPr>
          <w:p w14:paraId="53A2CBD9" w14:textId="77777777" w:rsidR="0062475E" w:rsidRPr="004700C2" w:rsidRDefault="0062475E" w:rsidP="001A1097">
            <w:r w:rsidRPr="004700C2">
              <w:t>Gasverbruik</w:t>
            </w:r>
          </w:p>
        </w:tc>
        <w:tc>
          <w:tcPr>
            <w:tcW w:w="1134" w:type="dxa"/>
          </w:tcPr>
          <w:p w14:paraId="27731CBC" w14:textId="77777777" w:rsidR="0062475E" w:rsidRDefault="0062475E" w:rsidP="001A1097">
            <w:pPr>
              <w:pStyle w:val="Geenafstand"/>
              <w:jc w:val="right"/>
            </w:pPr>
            <w:r>
              <w:t>3,67</w:t>
            </w:r>
          </w:p>
        </w:tc>
        <w:tc>
          <w:tcPr>
            <w:tcW w:w="1134" w:type="dxa"/>
          </w:tcPr>
          <w:p w14:paraId="062232D0" w14:textId="77777777" w:rsidR="0062475E" w:rsidRDefault="0062475E" w:rsidP="001A1097">
            <w:pPr>
              <w:pStyle w:val="Geenafstand"/>
              <w:jc w:val="right"/>
            </w:pPr>
            <w:r>
              <w:t>0</w:t>
            </w:r>
          </w:p>
        </w:tc>
      </w:tr>
      <w:tr w:rsidR="0062475E" w14:paraId="2A386D91" w14:textId="77777777" w:rsidTr="001A1097">
        <w:tc>
          <w:tcPr>
            <w:tcW w:w="4390" w:type="dxa"/>
          </w:tcPr>
          <w:p w14:paraId="5D487A5E" w14:textId="77777777" w:rsidR="0062475E" w:rsidRPr="004700C2" w:rsidRDefault="0062475E" w:rsidP="001A1097">
            <w:r w:rsidRPr="004700C2">
              <w:t>Brandstofverbruik diesel</w:t>
            </w:r>
          </w:p>
        </w:tc>
        <w:tc>
          <w:tcPr>
            <w:tcW w:w="1134" w:type="dxa"/>
          </w:tcPr>
          <w:p w14:paraId="408B601C" w14:textId="77777777" w:rsidR="0062475E" w:rsidRDefault="0062475E" w:rsidP="001A1097">
            <w:pPr>
              <w:pStyle w:val="Geenafstand"/>
              <w:jc w:val="right"/>
            </w:pPr>
            <w:r>
              <w:t>262,24</w:t>
            </w:r>
          </w:p>
        </w:tc>
        <w:tc>
          <w:tcPr>
            <w:tcW w:w="1134" w:type="dxa"/>
          </w:tcPr>
          <w:p w14:paraId="3DF2E498" w14:textId="0A1AB413" w:rsidR="0062475E" w:rsidRDefault="00DA241D" w:rsidP="001A1097">
            <w:pPr>
              <w:pStyle w:val="Geenafstand"/>
              <w:jc w:val="right"/>
            </w:pPr>
            <w:r>
              <w:t>188,58</w:t>
            </w:r>
          </w:p>
        </w:tc>
      </w:tr>
      <w:tr w:rsidR="0062475E" w14:paraId="4A10C80B" w14:textId="77777777" w:rsidTr="001A1097">
        <w:tc>
          <w:tcPr>
            <w:tcW w:w="4390" w:type="dxa"/>
          </w:tcPr>
          <w:p w14:paraId="51D01F0E" w14:textId="77777777" w:rsidR="0062475E" w:rsidRPr="004700C2" w:rsidRDefault="0062475E" w:rsidP="001A1097">
            <w:r w:rsidRPr="004700C2">
              <w:t>Brandstofverbruik benzine</w:t>
            </w:r>
          </w:p>
        </w:tc>
        <w:tc>
          <w:tcPr>
            <w:tcW w:w="1134" w:type="dxa"/>
          </w:tcPr>
          <w:p w14:paraId="38442B96" w14:textId="77777777" w:rsidR="0062475E" w:rsidRDefault="0062475E" w:rsidP="001A1097">
            <w:pPr>
              <w:pStyle w:val="Geenafstand"/>
              <w:jc w:val="right"/>
            </w:pPr>
            <w:r>
              <w:t>1,05</w:t>
            </w:r>
          </w:p>
        </w:tc>
        <w:tc>
          <w:tcPr>
            <w:tcW w:w="1134" w:type="dxa"/>
          </w:tcPr>
          <w:p w14:paraId="2A48E89E" w14:textId="1B85B680" w:rsidR="0062475E" w:rsidRDefault="00DC4563" w:rsidP="001A1097">
            <w:pPr>
              <w:pStyle w:val="Geenafstand"/>
              <w:jc w:val="right"/>
            </w:pPr>
            <w:r>
              <w:t>0,37</w:t>
            </w:r>
          </w:p>
        </w:tc>
      </w:tr>
      <w:tr w:rsidR="0062475E" w14:paraId="1D3E528B" w14:textId="77777777" w:rsidTr="001A1097">
        <w:tc>
          <w:tcPr>
            <w:tcW w:w="4390" w:type="dxa"/>
          </w:tcPr>
          <w:p w14:paraId="00D73540" w14:textId="77777777" w:rsidR="0062475E" w:rsidRPr="004700C2" w:rsidRDefault="0062475E" w:rsidP="001A1097"/>
        </w:tc>
        <w:tc>
          <w:tcPr>
            <w:tcW w:w="1134" w:type="dxa"/>
          </w:tcPr>
          <w:p w14:paraId="5B229743" w14:textId="77777777" w:rsidR="0062475E" w:rsidRDefault="0062475E" w:rsidP="001A1097">
            <w:pPr>
              <w:pStyle w:val="Geenafstand"/>
              <w:jc w:val="right"/>
            </w:pPr>
          </w:p>
        </w:tc>
        <w:tc>
          <w:tcPr>
            <w:tcW w:w="1134" w:type="dxa"/>
          </w:tcPr>
          <w:p w14:paraId="5911DC53" w14:textId="77777777" w:rsidR="0062475E" w:rsidRDefault="0062475E" w:rsidP="001A1097">
            <w:pPr>
              <w:pStyle w:val="Geenafstand"/>
              <w:jc w:val="right"/>
            </w:pPr>
          </w:p>
        </w:tc>
      </w:tr>
      <w:tr w:rsidR="0062475E" w:rsidRPr="0054527E" w14:paraId="73FDDC64" w14:textId="77777777" w:rsidTr="001A1097">
        <w:tc>
          <w:tcPr>
            <w:tcW w:w="4390" w:type="dxa"/>
          </w:tcPr>
          <w:p w14:paraId="7AF151AB" w14:textId="77777777" w:rsidR="0062475E" w:rsidRPr="0054527E" w:rsidRDefault="0062475E" w:rsidP="001A1097">
            <w:pPr>
              <w:pStyle w:val="Geenafstand"/>
              <w:rPr>
                <w:b/>
              </w:rPr>
            </w:pPr>
            <w:r w:rsidRPr="0054527E">
              <w:rPr>
                <w:b/>
              </w:rPr>
              <w:t>Totaal scope 1</w:t>
            </w:r>
          </w:p>
        </w:tc>
        <w:tc>
          <w:tcPr>
            <w:tcW w:w="1134" w:type="dxa"/>
          </w:tcPr>
          <w:p w14:paraId="16D70FA6" w14:textId="77777777" w:rsidR="0062475E" w:rsidRPr="0054527E" w:rsidRDefault="0062475E" w:rsidP="001A1097">
            <w:pPr>
              <w:pStyle w:val="Geenafstand"/>
              <w:jc w:val="right"/>
              <w:rPr>
                <w:b/>
              </w:rPr>
            </w:pPr>
            <w:r>
              <w:rPr>
                <w:b/>
              </w:rPr>
              <w:t>266,96</w:t>
            </w:r>
          </w:p>
        </w:tc>
        <w:tc>
          <w:tcPr>
            <w:tcW w:w="1134" w:type="dxa"/>
          </w:tcPr>
          <w:p w14:paraId="538016F7" w14:textId="7BE9C86E" w:rsidR="0062475E" w:rsidRPr="0054527E" w:rsidRDefault="005551FE" w:rsidP="001A1097">
            <w:pPr>
              <w:pStyle w:val="Geenafstand"/>
              <w:jc w:val="right"/>
              <w:rPr>
                <w:b/>
              </w:rPr>
            </w:pPr>
            <w:r>
              <w:rPr>
                <w:b/>
              </w:rPr>
              <w:t>188,95</w:t>
            </w:r>
          </w:p>
        </w:tc>
      </w:tr>
      <w:tr w:rsidR="0062475E" w14:paraId="185ED9B7" w14:textId="77777777" w:rsidTr="001A1097">
        <w:tc>
          <w:tcPr>
            <w:tcW w:w="4390" w:type="dxa"/>
          </w:tcPr>
          <w:p w14:paraId="6CFCE049" w14:textId="77777777" w:rsidR="0062475E" w:rsidRDefault="0062475E" w:rsidP="001A1097">
            <w:pPr>
              <w:pStyle w:val="Geenafstand"/>
            </w:pPr>
          </w:p>
        </w:tc>
        <w:tc>
          <w:tcPr>
            <w:tcW w:w="1134" w:type="dxa"/>
          </w:tcPr>
          <w:p w14:paraId="3C354961" w14:textId="77777777" w:rsidR="0062475E" w:rsidRDefault="0062475E" w:rsidP="001A1097">
            <w:pPr>
              <w:pStyle w:val="Geenafstand"/>
              <w:jc w:val="right"/>
            </w:pPr>
          </w:p>
        </w:tc>
        <w:tc>
          <w:tcPr>
            <w:tcW w:w="1134" w:type="dxa"/>
          </w:tcPr>
          <w:p w14:paraId="634CE7A0" w14:textId="77777777" w:rsidR="0062475E" w:rsidRDefault="0062475E" w:rsidP="001A1097">
            <w:pPr>
              <w:pStyle w:val="Geenafstand"/>
              <w:jc w:val="right"/>
            </w:pPr>
          </w:p>
        </w:tc>
      </w:tr>
      <w:tr w:rsidR="0062475E" w:rsidRPr="0054527E" w14:paraId="652FEE15" w14:textId="77777777" w:rsidTr="001A1097">
        <w:tc>
          <w:tcPr>
            <w:tcW w:w="4390" w:type="dxa"/>
            <w:shd w:val="clear" w:color="auto" w:fill="0B3B60"/>
          </w:tcPr>
          <w:p w14:paraId="09D30D3D" w14:textId="77777777" w:rsidR="0062475E" w:rsidRPr="0054527E" w:rsidRDefault="0062475E" w:rsidP="001A1097">
            <w:pPr>
              <w:pStyle w:val="Geenafstand"/>
              <w:rPr>
                <w:b/>
                <w:color w:val="FFFFFF" w:themeColor="background1"/>
              </w:rPr>
            </w:pPr>
            <w:r w:rsidRPr="0054527E">
              <w:rPr>
                <w:b/>
                <w:color w:val="FFFFFF" w:themeColor="background1"/>
              </w:rPr>
              <w:t>Scope 2</w:t>
            </w:r>
          </w:p>
        </w:tc>
        <w:tc>
          <w:tcPr>
            <w:tcW w:w="1134" w:type="dxa"/>
            <w:shd w:val="clear" w:color="auto" w:fill="0B3B60"/>
          </w:tcPr>
          <w:p w14:paraId="00AF82C7" w14:textId="77777777" w:rsidR="0062475E" w:rsidRPr="0054527E" w:rsidRDefault="0062475E" w:rsidP="001A1097">
            <w:pPr>
              <w:pStyle w:val="Geenafstand"/>
              <w:jc w:val="right"/>
              <w:rPr>
                <w:b/>
                <w:color w:val="FFFFFF" w:themeColor="background1"/>
              </w:rPr>
            </w:pPr>
          </w:p>
        </w:tc>
        <w:tc>
          <w:tcPr>
            <w:tcW w:w="1134" w:type="dxa"/>
            <w:shd w:val="clear" w:color="auto" w:fill="0B3B60"/>
          </w:tcPr>
          <w:p w14:paraId="6838C6CF" w14:textId="77777777" w:rsidR="0062475E" w:rsidRPr="0054527E" w:rsidRDefault="0062475E" w:rsidP="001A1097">
            <w:pPr>
              <w:pStyle w:val="Geenafstand"/>
              <w:jc w:val="right"/>
              <w:rPr>
                <w:b/>
                <w:color w:val="FFFFFF" w:themeColor="background1"/>
              </w:rPr>
            </w:pPr>
          </w:p>
        </w:tc>
      </w:tr>
      <w:tr w:rsidR="0062475E" w14:paraId="71CB8A7B" w14:textId="77777777" w:rsidTr="001A1097">
        <w:tc>
          <w:tcPr>
            <w:tcW w:w="4390" w:type="dxa"/>
          </w:tcPr>
          <w:p w14:paraId="7ACD7CBC" w14:textId="77777777" w:rsidR="0062475E" w:rsidRDefault="0062475E" w:rsidP="001A1097">
            <w:pPr>
              <w:pStyle w:val="Geenafstand"/>
            </w:pPr>
            <w:r>
              <w:t>Electraverbruik grijs</w:t>
            </w:r>
          </w:p>
        </w:tc>
        <w:tc>
          <w:tcPr>
            <w:tcW w:w="1134" w:type="dxa"/>
          </w:tcPr>
          <w:p w14:paraId="383721B9" w14:textId="77777777" w:rsidR="0062475E" w:rsidRDefault="0062475E" w:rsidP="001A1097">
            <w:pPr>
              <w:pStyle w:val="Geenafstand"/>
              <w:jc w:val="right"/>
            </w:pPr>
            <w:r>
              <w:t>19,86</w:t>
            </w:r>
          </w:p>
        </w:tc>
        <w:tc>
          <w:tcPr>
            <w:tcW w:w="1134" w:type="dxa"/>
          </w:tcPr>
          <w:p w14:paraId="36157F90" w14:textId="4E53225D" w:rsidR="0062475E" w:rsidRDefault="005551FE" w:rsidP="001A1097">
            <w:pPr>
              <w:pStyle w:val="Geenafstand"/>
              <w:jc w:val="right"/>
            </w:pPr>
            <w:r>
              <w:t>5,89</w:t>
            </w:r>
          </w:p>
        </w:tc>
      </w:tr>
      <w:tr w:rsidR="0062475E" w14:paraId="6FA80A96" w14:textId="77777777" w:rsidTr="001A1097">
        <w:tc>
          <w:tcPr>
            <w:tcW w:w="4390" w:type="dxa"/>
          </w:tcPr>
          <w:p w14:paraId="288C825A" w14:textId="77777777" w:rsidR="0062475E" w:rsidRDefault="0062475E" w:rsidP="001A1097">
            <w:pPr>
              <w:pStyle w:val="Geenafstand"/>
            </w:pPr>
            <w:r>
              <w:t>Electraverbruik groen</w:t>
            </w:r>
          </w:p>
        </w:tc>
        <w:tc>
          <w:tcPr>
            <w:tcW w:w="1134" w:type="dxa"/>
          </w:tcPr>
          <w:p w14:paraId="31717F4D" w14:textId="77777777" w:rsidR="0062475E" w:rsidRDefault="0062475E" w:rsidP="001A1097">
            <w:pPr>
              <w:pStyle w:val="Geenafstand"/>
              <w:jc w:val="right"/>
            </w:pPr>
          </w:p>
        </w:tc>
        <w:tc>
          <w:tcPr>
            <w:tcW w:w="1134" w:type="dxa"/>
          </w:tcPr>
          <w:p w14:paraId="6A2D872F" w14:textId="77777777" w:rsidR="0062475E" w:rsidRDefault="0062475E" w:rsidP="001A1097">
            <w:pPr>
              <w:pStyle w:val="Geenafstand"/>
              <w:jc w:val="right"/>
            </w:pPr>
            <w:r>
              <w:t>0</w:t>
            </w:r>
          </w:p>
        </w:tc>
      </w:tr>
      <w:tr w:rsidR="0062475E" w:rsidRPr="0054527E" w14:paraId="506EA5E1" w14:textId="77777777" w:rsidTr="001A1097">
        <w:tc>
          <w:tcPr>
            <w:tcW w:w="4390" w:type="dxa"/>
          </w:tcPr>
          <w:p w14:paraId="1CAB07A4" w14:textId="77777777" w:rsidR="0062475E" w:rsidRPr="0054527E" w:rsidRDefault="0062475E" w:rsidP="001A1097">
            <w:pPr>
              <w:pStyle w:val="Geenafstand"/>
              <w:rPr>
                <w:b/>
              </w:rPr>
            </w:pPr>
            <w:r w:rsidRPr="0054527E">
              <w:rPr>
                <w:b/>
              </w:rPr>
              <w:t>Totaal scope  2</w:t>
            </w:r>
          </w:p>
        </w:tc>
        <w:tc>
          <w:tcPr>
            <w:tcW w:w="1134" w:type="dxa"/>
          </w:tcPr>
          <w:p w14:paraId="6850EED3" w14:textId="77777777" w:rsidR="0062475E" w:rsidRPr="0054527E" w:rsidRDefault="0062475E" w:rsidP="001A1097">
            <w:pPr>
              <w:pStyle w:val="Geenafstand"/>
              <w:jc w:val="right"/>
              <w:rPr>
                <w:b/>
              </w:rPr>
            </w:pPr>
            <w:r>
              <w:rPr>
                <w:b/>
              </w:rPr>
              <w:t>19,86</w:t>
            </w:r>
          </w:p>
        </w:tc>
        <w:tc>
          <w:tcPr>
            <w:tcW w:w="1134" w:type="dxa"/>
          </w:tcPr>
          <w:p w14:paraId="03E7031A" w14:textId="11A225D8" w:rsidR="0062475E" w:rsidRPr="0054527E" w:rsidRDefault="005551FE" w:rsidP="001A1097">
            <w:pPr>
              <w:pStyle w:val="Geenafstand"/>
              <w:jc w:val="right"/>
              <w:rPr>
                <w:b/>
              </w:rPr>
            </w:pPr>
            <w:r>
              <w:rPr>
                <w:b/>
              </w:rPr>
              <w:t>5,89</w:t>
            </w:r>
          </w:p>
        </w:tc>
      </w:tr>
      <w:tr w:rsidR="0062475E" w:rsidRPr="0054527E" w14:paraId="6EC926EC" w14:textId="77777777" w:rsidTr="001A1097">
        <w:tc>
          <w:tcPr>
            <w:tcW w:w="4390" w:type="dxa"/>
          </w:tcPr>
          <w:p w14:paraId="3FDE93BC" w14:textId="77777777" w:rsidR="0062475E" w:rsidRPr="0054527E" w:rsidRDefault="0062475E" w:rsidP="001A1097">
            <w:pPr>
              <w:pStyle w:val="Geenafstand"/>
              <w:rPr>
                <w:b/>
              </w:rPr>
            </w:pPr>
          </w:p>
        </w:tc>
        <w:tc>
          <w:tcPr>
            <w:tcW w:w="1134" w:type="dxa"/>
          </w:tcPr>
          <w:p w14:paraId="58D67BD2" w14:textId="77777777" w:rsidR="0062475E" w:rsidRPr="0054527E" w:rsidRDefault="0062475E" w:rsidP="001A1097">
            <w:pPr>
              <w:pStyle w:val="Geenafstand"/>
              <w:jc w:val="right"/>
              <w:rPr>
                <w:b/>
              </w:rPr>
            </w:pPr>
          </w:p>
        </w:tc>
        <w:tc>
          <w:tcPr>
            <w:tcW w:w="1134" w:type="dxa"/>
          </w:tcPr>
          <w:p w14:paraId="3759100A" w14:textId="77777777" w:rsidR="0062475E" w:rsidRPr="0054527E" w:rsidRDefault="0062475E" w:rsidP="001A1097">
            <w:pPr>
              <w:pStyle w:val="Geenafstand"/>
              <w:jc w:val="right"/>
              <w:rPr>
                <w:b/>
              </w:rPr>
            </w:pPr>
          </w:p>
        </w:tc>
      </w:tr>
      <w:tr w:rsidR="0062475E" w:rsidRPr="0054527E" w14:paraId="64823F16" w14:textId="77777777" w:rsidTr="001A1097">
        <w:tc>
          <w:tcPr>
            <w:tcW w:w="4390" w:type="dxa"/>
            <w:shd w:val="clear" w:color="auto" w:fill="0B3B60"/>
          </w:tcPr>
          <w:p w14:paraId="35E71D07" w14:textId="77777777" w:rsidR="0062475E" w:rsidRPr="0054527E" w:rsidRDefault="0062475E" w:rsidP="001A1097">
            <w:pPr>
              <w:pStyle w:val="Geenafstand"/>
              <w:rPr>
                <w:b/>
                <w:color w:val="FFFFFF" w:themeColor="background1"/>
              </w:rPr>
            </w:pPr>
            <w:r>
              <w:rPr>
                <w:b/>
                <w:color w:val="FFFFFF" w:themeColor="background1"/>
              </w:rPr>
              <w:t>Scope 3</w:t>
            </w:r>
          </w:p>
        </w:tc>
        <w:tc>
          <w:tcPr>
            <w:tcW w:w="1134" w:type="dxa"/>
            <w:shd w:val="clear" w:color="auto" w:fill="0B3B60"/>
          </w:tcPr>
          <w:p w14:paraId="7E516197" w14:textId="77777777" w:rsidR="0062475E" w:rsidRPr="0054527E" w:rsidRDefault="0062475E" w:rsidP="001A1097">
            <w:pPr>
              <w:pStyle w:val="Geenafstand"/>
              <w:jc w:val="right"/>
              <w:rPr>
                <w:b/>
                <w:color w:val="FFFFFF" w:themeColor="background1"/>
              </w:rPr>
            </w:pPr>
          </w:p>
        </w:tc>
        <w:tc>
          <w:tcPr>
            <w:tcW w:w="1134" w:type="dxa"/>
            <w:shd w:val="clear" w:color="auto" w:fill="0B3B60"/>
          </w:tcPr>
          <w:p w14:paraId="1319EC13" w14:textId="77777777" w:rsidR="0062475E" w:rsidRPr="0054527E" w:rsidRDefault="0062475E" w:rsidP="001A1097">
            <w:pPr>
              <w:pStyle w:val="Geenafstand"/>
              <w:jc w:val="right"/>
              <w:rPr>
                <w:b/>
                <w:color w:val="FFFFFF" w:themeColor="background1"/>
              </w:rPr>
            </w:pPr>
          </w:p>
        </w:tc>
      </w:tr>
      <w:tr w:rsidR="0062475E" w14:paraId="388AFB15" w14:textId="77777777" w:rsidTr="001A1097">
        <w:tc>
          <w:tcPr>
            <w:tcW w:w="4390" w:type="dxa"/>
          </w:tcPr>
          <w:p w14:paraId="73BB12F2" w14:textId="77777777" w:rsidR="0062475E" w:rsidRDefault="0062475E" w:rsidP="001A1097">
            <w:pPr>
              <w:pStyle w:val="Geenafstand"/>
            </w:pPr>
            <w:r>
              <w:t xml:space="preserve">Business </w:t>
            </w:r>
            <w:proofErr w:type="spellStart"/>
            <w:r>
              <w:t>travel</w:t>
            </w:r>
            <w:proofErr w:type="spellEnd"/>
            <w:r>
              <w:t xml:space="preserve"> </w:t>
            </w:r>
          </w:p>
        </w:tc>
        <w:tc>
          <w:tcPr>
            <w:tcW w:w="1134" w:type="dxa"/>
          </w:tcPr>
          <w:p w14:paraId="6AD2B397" w14:textId="77777777" w:rsidR="0062475E" w:rsidRDefault="0062475E" w:rsidP="001A1097">
            <w:pPr>
              <w:pStyle w:val="Geenafstand"/>
              <w:jc w:val="right"/>
            </w:pPr>
            <w:r>
              <w:t>0</w:t>
            </w:r>
          </w:p>
        </w:tc>
        <w:tc>
          <w:tcPr>
            <w:tcW w:w="1134" w:type="dxa"/>
          </w:tcPr>
          <w:p w14:paraId="3040946E" w14:textId="77777777" w:rsidR="0062475E" w:rsidRDefault="0062475E" w:rsidP="001A1097">
            <w:pPr>
              <w:pStyle w:val="Geenafstand"/>
              <w:jc w:val="right"/>
            </w:pPr>
            <w:r>
              <w:t>0</w:t>
            </w:r>
          </w:p>
        </w:tc>
      </w:tr>
      <w:tr w:rsidR="0062475E" w14:paraId="7BCCECC5" w14:textId="77777777" w:rsidTr="001A1097">
        <w:tc>
          <w:tcPr>
            <w:tcW w:w="4390" w:type="dxa"/>
          </w:tcPr>
          <w:p w14:paraId="46CF142B" w14:textId="77777777" w:rsidR="0062475E" w:rsidRPr="0054527E" w:rsidRDefault="0062475E" w:rsidP="001A1097">
            <w:pPr>
              <w:pStyle w:val="Geenafstand"/>
              <w:rPr>
                <w:b/>
              </w:rPr>
            </w:pPr>
          </w:p>
        </w:tc>
        <w:tc>
          <w:tcPr>
            <w:tcW w:w="1134" w:type="dxa"/>
          </w:tcPr>
          <w:p w14:paraId="114590AA" w14:textId="77777777" w:rsidR="0062475E" w:rsidRDefault="0062475E" w:rsidP="001A1097">
            <w:pPr>
              <w:pStyle w:val="Geenafstand"/>
              <w:jc w:val="right"/>
            </w:pPr>
          </w:p>
        </w:tc>
        <w:tc>
          <w:tcPr>
            <w:tcW w:w="1134" w:type="dxa"/>
          </w:tcPr>
          <w:p w14:paraId="34CB7179" w14:textId="77777777" w:rsidR="0062475E" w:rsidRDefault="0062475E" w:rsidP="001A1097">
            <w:pPr>
              <w:pStyle w:val="Geenafstand"/>
              <w:jc w:val="center"/>
            </w:pPr>
          </w:p>
        </w:tc>
      </w:tr>
      <w:tr w:rsidR="0062475E" w:rsidRPr="0054527E" w14:paraId="21CACD1D" w14:textId="77777777" w:rsidTr="001A1097">
        <w:tc>
          <w:tcPr>
            <w:tcW w:w="4390" w:type="dxa"/>
          </w:tcPr>
          <w:p w14:paraId="7FA43C25" w14:textId="77777777" w:rsidR="0062475E" w:rsidRPr="0054527E" w:rsidRDefault="0062475E" w:rsidP="001A1097">
            <w:pPr>
              <w:pStyle w:val="Geenafstand"/>
              <w:rPr>
                <w:b/>
              </w:rPr>
            </w:pPr>
            <w:r>
              <w:rPr>
                <w:b/>
              </w:rPr>
              <w:t xml:space="preserve">Totaal scope 1, </w:t>
            </w:r>
            <w:r w:rsidRPr="0054527E">
              <w:rPr>
                <w:b/>
              </w:rPr>
              <w:t>2</w:t>
            </w:r>
            <w:r>
              <w:rPr>
                <w:b/>
              </w:rPr>
              <w:t xml:space="preserve"> &amp; 3</w:t>
            </w:r>
          </w:p>
        </w:tc>
        <w:tc>
          <w:tcPr>
            <w:tcW w:w="1134" w:type="dxa"/>
          </w:tcPr>
          <w:p w14:paraId="5AA45DF0" w14:textId="77777777" w:rsidR="0062475E" w:rsidRPr="0054527E" w:rsidRDefault="0062475E" w:rsidP="001A1097">
            <w:pPr>
              <w:pStyle w:val="Geenafstand"/>
              <w:jc w:val="right"/>
              <w:rPr>
                <w:b/>
              </w:rPr>
            </w:pPr>
            <w:r>
              <w:rPr>
                <w:b/>
              </w:rPr>
              <w:t>286,82</w:t>
            </w:r>
          </w:p>
        </w:tc>
        <w:tc>
          <w:tcPr>
            <w:tcW w:w="1134" w:type="dxa"/>
          </w:tcPr>
          <w:p w14:paraId="6EB49BD3" w14:textId="55F491F4" w:rsidR="0062475E" w:rsidRPr="0054527E" w:rsidRDefault="005551FE" w:rsidP="001A1097">
            <w:pPr>
              <w:pStyle w:val="Geenafstand"/>
              <w:jc w:val="right"/>
              <w:rPr>
                <w:b/>
              </w:rPr>
            </w:pPr>
            <w:r>
              <w:rPr>
                <w:b/>
              </w:rPr>
              <w:t>194,84</w:t>
            </w:r>
          </w:p>
        </w:tc>
      </w:tr>
      <w:tr w:rsidR="0062475E" w14:paraId="43A25763" w14:textId="77777777" w:rsidTr="001A1097">
        <w:tc>
          <w:tcPr>
            <w:tcW w:w="4390" w:type="dxa"/>
          </w:tcPr>
          <w:p w14:paraId="7C2B94E4" w14:textId="77777777" w:rsidR="0062475E" w:rsidRDefault="0062475E" w:rsidP="001A1097">
            <w:pPr>
              <w:pStyle w:val="Geenafstand"/>
            </w:pPr>
          </w:p>
        </w:tc>
        <w:tc>
          <w:tcPr>
            <w:tcW w:w="1134" w:type="dxa"/>
          </w:tcPr>
          <w:p w14:paraId="2EFBFA59" w14:textId="77777777" w:rsidR="0062475E" w:rsidRDefault="0062475E" w:rsidP="001A1097">
            <w:pPr>
              <w:pStyle w:val="Geenafstand"/>
              <w:jc w:val="right"/>
            </w:pPr>
          </w:p>
        </w:tc>
        <w:tc>
          <w:tcPr>
            <w:tcW w:w="1134" w:type="dxa"/>
          </w:tcPr>
          <w:p w14:paraId="13BFE434" w14:textId="77777777" w:rsidR="0062475E" w:rsidRDefault="0062475E" w:rsidP="001A1097">
            <w:pPr>
              <w:pStyle w:val="Geenafstand"/>
              <w:jc w:val="right"/>
            </w:pPr>
          </w:p>
        </w:tc>
      </w:tr>
      <w:tr w:rsidR="0062475E" w:rsidRPr="0054527E" w14:paraId="2DD5BD3D" w14:textId="77777777" w:rsidTr="001A1097">
        <w:tc>
          <w:tcPr>
            <w:tcW w:w="4390" w:type="dxa"/>
            <w:shd w:val="clear" w:color="auto" w:fill="0B3B60"/>
          </w:tcPr>
          <w:p w14:paraId="45FF4928" w14:textId="77777777" w:rsidR="0062475E" w:rsidRPr="00EA7268" w:rsidRDefault="0062475E" w:rsidP="001A1097">
            <w:pPr>
              <w:rPr>
                <w:b/>
                <w:color w:val="FFFFFF" w:themeColor="background1"/>
                <w:lang w:val="en-US"/>
              </w:rPr>
            </w:pPr>
            <w:r w:rsidRPr="00EA7268">
              <w:rPr>
                <w:b/>
                <w:color w:val="FFFFFF" w:themeColor="background1"/>
                <w:lang w:val="en-US"/>
              </w:rPr>
              <w:t>CO2 scope 1 (</w:t>
            </w:r>
            <w:proofErr w:type="spellStart"/>
            <w:r w:rsidRPr="00EA7268">
              <w:rPr>
                <w:b/>
                <w:color w:val="FFFFFF" w:themeColor="background1"/>
                <w:lang w:val="en-US"/>
              </w:rPr>
              <w:t>t.o.v</w:t>
            </w:r>
            <w:proofErr w:type="spellEnd"/>
            <w:r w:rsidRPr="00EA7268">
              <w:rPr>
                <w:b/>
                <w:color w:val="FFFFFF" w:themeColor="background1"/>
                <w:lang w:val="en-US"/>
              </w:rPr>
              <w:t xml:space="preserve">. </w:t>
            </w:r>
            <w:proofErr w:type="spellStart"/>
            <w:r w:rsidRPr="00EA7268">
              <w:rPr>
                <w:b/>
                <w:color w:val="FFFFFF" w:themeColor="background1"/>
                <w:lang w:val="en-US"/>
              </w:rPr>
              <w:t>basisjaar</w:t>
            </w:r>
            <w:proofErr w:type="spellEnd"/>
            <w:r w:rsidRPr="00EA7268">
              <w:rPr>
                <w:b/>
                <w:color w:val="FFFFFF" w:themeColor="background1"/>
                <w:lang w:val="en-US"/>
              </w:rPr>
              <w:t>)</w:t>
            </w:r>
          </w:p>
        </w:tc>
        <w:tc>
          <w:tcPr>
            <w:tcW w:w="1134" w:type="dxa"/>
            <w:shd w:val="clear" w:color="auto" w:fill="0B3B60"/>
          </w:tcPr>
          <w:p w14:paraId="6DA6555A" w14:textId="77777777" w:rsidR="0062475E" w:rsidRPr="0054527E" w:rsidRDefault="0062475E" w:rsidP="001A1097">
            <w:pPr>
              <w:jc w:val="right"/>
              <w:rPr>
                <w:color w:val="FFFFFF" w:themeColor="background1"/>
              </w:rPr>
            </w:pPr>
            <w:r w:rsidRPr="0054527E">
              <w:rPr>
                <w:color w:val="FFFFFF" w:themeColor="background1"/>
              </w:rPr>
              <w:t>100%</w:t>
            </w:r>
          </w:p>
        </w:tc>
        <w:tc>
          <w:tcPr>
            <w:tcW w:w="1134" w:type="dxa"/>
            <w:shd w:val="clear" w:color="auto" w:fill="0B3B60"/>
          </w:tcPr>
          <w:p w14:paraId="21254506" w14:textId="59588797" w:rsidR="0062475E" w:rsidRPr="0054527E" w:rsidRDefault="00BD4BD7" w:rsidP="001A1097">
            <w:pPr>
              <w:pStyle w:val="Geenafstand"/>
              <w:jc w:val="right"/>
              <w:rPr>
                <w:color w:val="FFFFFF" w:themeColor="background1"/>
              </w:rPr>
            </w:pPr>
            <w:r>
              <w:rPr>
                <w:color w:val="FFFFFF" w:themeColor="background1"/>
              </w:rPr>
              <w:t>7</w:t>
            </w:r>
            <w:r w:rsidR="00ED0F41">
              <w:rPr>
                <w:color w:val="FFFFFF" w:themeColor="background1"/>
              </w:rPr>
              <w:t>0</w:t>
            </w:r>
            <w:r w:rsidR="0062475E">
              <w:rPr>
                <w:color w:val="FFFFFF" w:themeColor="background1"/>
              </w:rPr>
              <w:t>%</w:t>
            </w:r>
          </w:p>
        </w:tc>
      </w:tr>
      <w:tr w:rsidR="0062475E" w:rsidRPr="0054527E" w14:paraId="5841BD3C" w14:textId="77777777" w:rsidTr="001A1097">
        <w:tc>
          <w:tcPr>
            <w:tcW w:w="4390" w:type="dxa"/>
            <w:shd w:val="clear" w:color="auto" w:fill="0B3B60"/>
          </w:tcPr>
          <w:p w14:paraId="7BC9A0A0" w14:textId="77777777" w:rsidR="0062475E" w:rsidRPr="00EA7268" w:rsidRDefault="0062475E" w:rsidP="001A1097">
            <w:pPr>
              <w:rPr>
                <w:b/>
                <w:color w:val="FFFFFF" w:themeColor="background1"/>
                <w:lang w:val="en-US"/>
              </w:rPr>
            </w:pPr>
            <w:r w:rsidRPr="00EA7268">
              <w:rPr>
                <w:b/>
                <w:color w:val="FFFFFF" w:themeColor="background1"/>
                <w:lang w:val="en-US"/>
              </w:rPr>
              <w:t>CO2 scope 2 (</w:t>
            </w:r>
            <w:proofErr w:type="spellStart"/>
            <w:r w:rsidRPr="00EA7268">
              <w:rPr>
                <w:b/>
                <w:color w:val="FFFFFF" w:themeColor="background1"/>
                <w:lang w:val="en-US"/>
              </w:rPr>
              <w:t>t.o.v</w:t>
            </w:r>
            <w:proofErr w:type="spellEnd"/>
            <w:r w:rsidRPr="00EA7268">
              <w:rPr>
                <w:b/>
                <w:color w:val="FFFFFF" w:themeColor="background1"/>
                <w:lang w:val="en-US"/>
              </w:rPr>
              <w:t xml:space="preserve">. </w:t>
            </w:r>
            <w:proofErr w:type="spellStart"/>
            <w:r w:rsidRPr="00EA7268">
              <w:rPr>
                <w:b/>
                <w:color w:val="FFFFFF" w:themeColor="background1"/>
                <w:lang w:val="en-US"/>
              </w:rPr>
              <w:t>basisjaar</w:t>
            </w:r>
            <w:proofErr w:type="spellEnd"/>
            <w:r w:rsidRPr="00EA7268">
              <w:rPr>
                <w:b/>
                <w:color w:val="FFFFFF" w:themeColor="background1"/>
                <w:lang w:val="en-US"/>
              </w:rPr>
              <w:t>)</w:t>
            </w:r>
          </w:p>
        </w:tc>
        <w:tc>
          <w:tcPr>
            <w:tcW w:w="1134" w:type="dxa"/>
            <w:shd w:val="clear" w:color="auto" w:fill="0B3B60"/>
          </w:tcPr>
          <w:p w14:paraId="012427AB" w14:textId="77777777" w:rsidR="0062475E" w:rsidRPr="0054527E" w:rsidRDefault="0062475E" w:rsidP="001A1097">
            <w:pPr>
              <w:jc w:val="right"/>
              <w:rPr>
                <w:color w:val="FFFFFF" w:themeColor="background1"/>
              </w:rPr>
            </w:pPr>
            <w:r w:rsidRPr="0054527E">
              <w:rPr>
                <w:color w:val="FFFFFF" w:themeColor="background1"/>
              </w:rPr>
              <w:t>100%</w:t>
            </w:r>
          </w:p>
        </w:tc>
        <w:tc>
          <w:tcPr>
            <w:tcW w:w="1134" w:type="dxa"/>
            <w:shd w:val="clear" w:color="auto" w:fill="0B3B60"/>
          </w:tcPr>
          <w:p w14:paraId="6312833E" w14:textId="5C5EA1DB" w:rsidR="0062475E" w:rsidRPr="0054527E" w:rsidRDefault="00ED0F41" w:rsidP="001A1097">
            <w:pPr>
              <w:pStyle w:val="Geenafstand"/>
              <w:jc w:val="right"/>
              <w:rPr>
                <w:color w:val="FFFFFF" w:themeColor="background1"/>
              </w:rPr>
            </w:pPr>
            <w:r>
              <w:rPr>
                <w:color w:val="FFFFFF" w:themeColor="background1"/>
              </w:rPr>
              <w:t>30</w:t>
            </w:r>
            <w:r w:rsidR="0062475E">
              <w:rPr>
                <w:color w:val="FFFFFF" w:themeColor="background1"/>
              </w:rPr>
              <w:t>%</w:t>
            </w:r>
          </w:p>
        </w:tc>
      </w:tr>
      <w:tr w:rsidR="0062475E" w:rsidRPr="0054527E" w14:paraId="10D487BF" w14:textId="77777777" w:rsidTr="001A1097">
        <w:tc>
          <w:tcPr>
            <w:tcW w:w="4390" w:type="dxa"/>
            <w:shd w:val="clear" w:color="auto" w:fill="0B3B60"/>
          </w:tcPr>
          <w:p w14:paraId="6D0598AF" w14:textId="77777777" w:rsidR="0062475E" w:rsidRPr="00EA7268" w:rsidRDefault="0062475E" w:rsidP="001A1097">
            <w:pPr>
              <w:rPr>
                <w:b/>
                <w:color w:val="FFFFFF" w:themeColor="background1"/>
                <w:lang w:val="en-US"/>
              </w:rPr>
            </w:pPr>
            <w:r w:rsidRPr="00EA7268">
              <w:rPr>
                <w:b/>
                <w:color w:val="FFFFFF" w:themeColor="background1"/>
                <w:lang w:val="en-US"/>
              </w:rPr>
              <w:t>CO2 scope 3 (</w:t>
            </w:r>
            <w:proofErr w:type="spellStart"/>
            <w:r w:rsidRPr="00EA7268">
              <w:rPr>
                <w:b/>
                <w:color w:val="FFFFFF" w:themeColor="background1"/>
                <w:lang w:val="en-US"/>
              </w:rPr>
              <w:t>t.o.v</w:t>
            </w:r>
            <w:proofErr w:type="spellEnd"/>
            <w:r w:rsidRPr="00EA7268">
              <w:rPr>
                <w:b/>
                <w:color w:val="FFFFFF" w:themeColor="background1"/>
                <w:lang w:val="en-US"/>
              </w:rPr>
              <w:t xml:space="preserve">. </w:t>
            </w:r>
            <w:proofErr w:type="spellStart"/>
            <w:r w:rsidRPr="00EA7268">
              <w:rPr>
                <w:b/>
                <w:color w:val="FFFFFF" w:themeColor="background1"/>
                <w:lang w:val="en-US"/>
              </w:rPr>
              <w:t>basisjaar</w:t>
            </w:r>
            <w:proofErr w:type="spellEnd"/>
            <w:r w:rsidRPr="00EA7268">
              <w:rPr>
                <w:b/>
                <w:color w:val="FFFFFF" w:themeColor="background1"/>
                <w:lang w:val="en-US"/>
              </w:rPr>
              <w:t>)</w:t>
            </w:r>
          </w:p>
        </w:tc>
        <w:tc>
          <w:tcPr>
            <w:tcW w:w="1134" w:type="dxa"/>
            <w:shd w:val="clear" w:color="auto" w:fill="0B3B60"/>
          </w:tcPr>
          <w:p w14:paraId="0ABF7560" w14:textId="77777777" w:rsidR="0062475E" w:rsidRPr="0054527E" w:rsidRDefault="0062475E" w:rsidP="001A1097">
            <w:pPr>
              <w:jc w:val="right"/>
              <w:rPr>
                <w:color w:val="FFFFFF" w:themeColor="background1"/>
              </w:rPr>
            </w:pPr>
            <w:r w:rsidRPr="0054527E">
              <w:rPr>
                <w:color w:val="FFFFFF" w:themeColor="background1"/>
              </w:rPr>
              <w:t>100%</w:t>
            </w:r>
          </w:p>
        </w:tc>
        <w:tc>
          <w:tcPr>
            <w:tcW w:w="1134" w:type="dxa"/>
            <w:shd w:val="clear" w:color="auto" w:fill="0B3B60"/>
          </w:tcPr>
          <w:p w14:paraId="6E06AAD4" w14:textId="77777777" w:rsidR="0062475E" w:rsidRPr="0054527E" w:rsidRDefault="0062475E" w:rsidP="001A1097">
            <w:pPr>
              <w:pStyle w:val="Geenafstand"/>
              <w:jc w:val="right"/>
              <w:rPr>
                <w:color w:val="FFFFFF" w:themeColor="background1"/>
              </w:rPr>
            </w:pPr>
            <w:r>
              <w:rPr>
                <w:color w:val="FFFFFF" w:themeColor="background1"/>
              </w:rPr>
              <w:t>100%</w:t>
            </w:r>
          </w:p>
        </w:tc>
      </w:tr>
    </w:tbl>
    <w:p w14:paraId="44686043" w14:textId="77777777" w:rsidR="0062475E" w:rsidRPr="007A3B1C" w:rsidRDefault="0062475E" w:rsidP="008832D4">
      <w:pPr>
        <w:rPr>
          <w:b/>
        </w:rPr>
      </w:pPr>
      <w:bookmarkStart w:id="6" w:name="_Toc88559540"/>
      <w:r w:rsidRPr="007A3B1C">
        <w:t xml:space="preserve">De uitstoot van 2020 is gerealiseerd met 14 FTE en 2 vaste inleen = 16 FTE. Om ervoor te zorgen dat bij stijging dan wel reducering van werkzaamheden dit verdisconteerd wordt in het richtgetal wordt het totaal aan emissie gedeeld door het aantal medewerkers. </w:t>
      </w:r>
      <w:r w:rsidRPr="007A3B1C">
        <w:br/>
        <w:t>Voor 2020 is dat dus 286,82 ton CO2 / 16 FTE = 17,93 ton CO2 per FTE.</w:t>
      </w:r>
    </w:p>
    <w:p w14:paraId="03501E45" w14:textId="2623B620" w:rsidR="00BB5E13" w:rsidRDefault="0062475E" w:rsidP="008832D4">
      <w:r w:rsidRPr="00211D75">
        <w:t>Voor 202</w:t>
      </w:r>
      <w:r>
        <w:t>4</w:t>
      </w:r>
      <w:r w:rsidRPr="00211D75">
        <w:t xml:space="preserve"> is dat dus </w:t>
      </w:r>
      <w:r>
        <w:t>246,51</w:t>
      </w:r>
      <w:r w:rsidRPr="00211D75">
        <w:t xml:space="preserve"> ton CO2 / 1</w:t>
      </w:r>
      <w:r>
        <w:t>6</w:t>
      </w:r>
      <w:r w:rsidRPr="00211D75">
        <w:t xml:space="preserve"> FTE (1</w:t>
      </w:r>
      <w:r>
        <w:t>4</w:t>
      </w:r>
      <w:r w:rsidRPr="00211D75">
        <w:t xml:space="preserve"> FTE en 2 vaste inleen) = 1</w:t>
      </w:r>
      <w:r>
        <w:t>5,40</w:t>
      </w:r>
      <w:r w:rsidRPr="00211D75">
        <w:t xml:space="preserve"> ton CO2 per FTE.</w:t>
      </w:r>
    </w:p>
    <w:p w14:paraId="2D9CF18C" w14:textId="696F66A0" w:rsidR="0010027E" w:rsidRPr="00211D75" w:rsidRDefault="0010027E" w:rsidP="0062475E">
      <w:pPr>
        <w:pStyle w:val="Geenafstand"/>
        <w:jc w:val="both"/>
        <w:rPr>
          <w:color w:val="002060"/>
        </w:rPr>
      </w:pPr>
      <w:r>
        <w:rPr>
          <w:color w:val="002060"/>
        </w:rPr>
        <w:t xml:space="preserve">Voor 2025 is dat dus </w:t>
      </w:r>
      <w:r w:rsidR="00BC1CBA">
        <w:rPr>
          <w:color w:val="002060"/>
        </w:rPr>
        <w:t>194,84 ton CO2</w:t>
      </w:r>
      <w:r w:rsidR="00BB5E13">
        <w:rPr>
          <w:color w:val="002060"/>
        </w:rPr>
        <w:t xml:space="preserve"> </w:t>
      </w:r>
      <w:r w:rsidR="00BC1CBA">
        <w:rPr>
          <w:color w:val="002060"/>
        </w:rPr>
        <w:t xml:space="preserve">/ </w:t>
      </w:r>
      <w:r w:rsidR="00BB5E13">
        <w:rPr>
          <w:color w:val="002060"/>
        </w:rPr>
        <w:t xml:space="preserve">16 FTE </w:t>
      </w:r>
      <w:r w:rsidR="007B1CAC">
        <w:rPr>
          <w:color w:val="002060"/>
        </w:rPr>
        <w:t xml:space="preserve">= </w:t>
      </w:r>
      <w:r w:rsidR="00D6425D">
        <w:rPr>
          <w:color w:val="002060"/>
        </w:rPr>
        <w:t xml:space="preserve">12,18 ton CO2 per FTE. </w:t>
      </w:r>
    </w:p>
    <w:p w14:paraId="3AC2A4E5" w14:textId="77777777" w:rsidR="0062475E" w:rsidRPr="00006D98" w:rsidRDefault="0062475E" w:rsidP="0062475E">
      <w:pPr>
        <w:pStyle w:val="Kop1"/>
        <w:numPr>
          <w:ilvl w:val="0"/>
          <w:numId w:val="1"/>
        </w:numPr>
        <w:rPr>
          <w:b/>
          <w:bCs/>
          <w:color w:val="002060"/>
          <w:sz w:val="22"/>
          <w:szCs w:val="22"/>
        </w:rPr>
      </w:pPr>
      <w:r w:rsidRPr="00006D98">
        <w:rPr>
          <w:b/>
          <w:bCs/>
          <w:color w:val="002060"/>
          <w:sz w:val="22"/>
          <w:szCs w:val="22"/>
        </w:rPr>
        <w:lastRenderedPageBreak/>
        <w:t>Kwantificeringsmethoden</w:t>
      </w:r>
      <w:bookmarkEnd w:id="6"/>
    </w:p>
    <w:p w14:paraId="583CBF7B" w14:textId="77777777" w:rsidR="0062475E" w:rsidRPr="00211D75" w:rsidRDefault="0062475E" w:rsidP="0062475E">
      <w:pPr>
        <w:pStyle w:val="Geenafstand"/>
        <w:rPr>
          <w:color w:val="002060"/>
        </w:rPr>
      </w:pPr>
      <w:r w:rsidRPr="00211D75">
        <w:rPr>
          <w:color w:val="002060"/>
        </w:rPr>
        <w:t xml:space="preserve">Voor het kwantificeren van de CO2 uitstoot is gebruik gemaakt van een voor Handelsonderneming van Schaik Ingen BV op maat gemaakt model. In het model kunnen alle verbruiken worden ingevuld. Vervolgens wordt de daarbij behorende CO2 uitstoot automatisch berekend en vervolgens kunnen we dat vergelijken met het basisjaar. Hierbij zijn de emissiefactoren zoals weergegeven op </w:t>
      </w:r>
      <w:hyperlink r:id="rId11" w:history="1">
        <w:r w:rsidRPr="00211D75">
          <w:rPr>
            <w:rStyle w:val="Hyperlink"/>
            <w:color w:val="002060"/>
          </w:rPr>
          <w:t>www.co2emissiefactoren.nl</w:t>
        </w:r>
      </w:hyperlink>
      <w:r w:rsidRPr="00211D75">
        <w:rPr>
          <w:color w:val="002060"/>
        </w:rPr>
        <w:t xml:space="preserve"> gehanteerd.</w:t>
      </w:r>
    </w:p>
    <w:p w14:paraId="2D8AA6CE" w14:textId="77777777" w:rsidR="0062475E" w:rsidRPr="00006D98" w:rsidRDefault="0062475E" w:rsidP="0062475E">
      <w:pPr>
        <w:pStyle w:val="Kop1"/>
        <w:numPr>
          <w:ilvl w:val="0"/>
          <w:numId w:val="1"/>
        </w:numPr>
        <w:rPr>
          <w:b/>
          <w:bCs/>
          <w:color w:val="002060"/>
          <w:sz w:val="22"/>
          <w:szCs w:val="22"/>
        </w:rPr>
      </w:pPr>
      <w:bookmarkStart w:id="7" w:name="_Toc88559541"/>
      <w:r w:rsidRPr="00006D98">
        <w:rPr>
          <w:b/>
          <w:bCs/>
          <w:color w:val="002060"/>
          <w:sz w:val="22"/>
          <w:szCs w:val="22"/>
        </w:rPr>
        <w:t>Emissiefactoren</w:t>
      </w:r>
      <w:bookmarkEnd w:id="7"/>
    </w:p>
    <w:p w14:paraId="3B2DED80" w14:textId="10646A00" w:rsidR="0062475E" w:rsidRPr="00211D75" w:rsidRDefault="0062475E" w:rsidP="0062475E">
      <w:pPr>
        <w:pStyle w:val="Geenafstand"/>
        <w:rPr>
          <w:color w:val="002060"/>
        </w:rPr>
      </w:pPr>
      <w:r w:rsidRPr="00211D75">
        <w:rPr>
          <w:color w:val="002060"/>
        </w:rPr>
        <w:t>Voor de inventarisatie van de CO2 uitstoot van handelsonderneming van Schaik Ingen BV over het jaar 202</w:t>
      </w:r>
      <w:r w:rsidR="00D6425D">
        <w:rPr>
          <w:color w:val="002060"/>
        </w:rPr>
        <w:t>5</w:t>
      </w:r>
      <w:r w:rsidRPr="00211D75">
        <w:rPr>
          <w:color w:val="002060"/>
        </w:rPr>
        <w:t xml:space="preserve"> zijn de emissiefactoren zoals weergegeven op </w:t>
      </w:r>
      <w:hyperlink r:id="rId12" w:history="1">
        <w:r w:rsidRPr="00211D75">
          <w:rPr>
            <w:rStyle w:val="Hyperlink"/>
            <w:color w:val="002060"/>
          </w:rPr>
          <w:t>www.co2emissiefactoren.nl</w:t>
        </w:r>
      </w:hyperlink>
      <w:r w:rsidRPr="00211D75">
        <w:rPr>
          <w:color w:val="002060"/>
        </w:rPr>
        <w:t xml:space="preserve"> gehanteerd. Omdat het gaat om specifieke emissiefactoren op nationaal niveau, zijn de gehanteerde emissiefactoren zeer geschikt voor het omrekenen van de broeikasgas activiteiten data naar de daarmee gepaard gaande CO2-emissie. Alle gebruikte emissiefactoren zijn opgenomen in de berekening van de CO2 footprint. De emissiefactoren van Handelsonderneming van Schaik Ingen BV zullen te allen tijde meegaan met wijzigingen in de emissiefactoren zoals weergegeven op </w:t>
      </w:r>
      <w:hyperlink r:id="rId13" w:history="1">
        <w:r w:rsidRPr="00211D75">
          <w:rPr>
            <w:rStyle w:val="Hyperlink"/>
            <w:color w:val="002060"/>
          </w:rPr>
          <w:t>www.co2emissiefactoren.nl</w:t>
        </w:r>
      </w:hyperlink>
      <w:r w:rsidRPr="00211D75">
        <w:rPr>
          <w:color w:val="002060"/>
        </w:rPr>
        <w:t>. Er zijn geen “</w:t>
      </w:r>
      <w:proofErr w:type="spellStart"/>
      <w:r w:rsidRPr="00211D75">
        <w:rPr>
          <w:color w:val="002060"/>
        </w:rPr>
        <w:t>Removal</w:t>
      </w:r>
      <w:proofErr w:type="spellEnd"/>
      <w:r w:rsidRPr="00211D75">
        <w:rPr>
          <w:color w:val="002060"/>
        </w:rPr>
        <w:t xml:space="preserve"> factors” van toepassing.</w:t>
      </w:r>
      <w:r>
        <w:rPr>
          <w:color w:val="002060"/>
        </w:rPr>
        <w:t xml:space="preserve">  </w:t>
      </w:r>
    </w:p>
    <w:p w14:paraId="6BFD17F8" w14:textId="77777777" w:rsidR="0062475E" w:rsidRPr="00006D98" w:rsidRDefault="0062475E" w:rsidP="0062475E">
      <w:pPr>
        <w:pStyle w:val="Kop1"/>
        <w:numPr>
          <w:ilvl w:val="0"/>
          <w:numId w:val="1"/>
        </w:numPr>
        <w:rPr>
          <w:b/>
          <w:bCs/>
          <w:color w:val="002060"/>
          <w:sz w:val="22"/>
          <w:szCs w:val="22"/>
        </w:rPr>
      </w:pPr>
      <w:bookmarkStart w:id="8" w:name="_Toc88559542"/>
      <w:r w:rsidRPr="00006D98">
        <w:rPr>
          <w:b/>
          <w:bCs/>
          <w:color w:val="002060"/>
          <w:sz w:val="22"/>
          <w:szCs w:val="22"/>
        </w:rPr>
        <w:t>Onzekerheden</w:t>
      </w:r>
      <w:bookmarkEnd w:id="8"/>
    </w:p>
    <w:p w14:paraId="678D8871" w14:textId="77777777" w:rsidR="0062475E" w:rsidRPr="00211D75" w:rsidRDefault="0062475E" w:rsidP="0062475E">
      <w:pPr>
        <w:pStyle w:val="Geenafstand"/>
        <w:rPr>
          <w:color w:val="002060"/>
        </w:rPr>
      </w:pPr>
      <w:r w:rsidRPr="00211D75">
        <w:rPr>
          <w:color w:val="002060"/>
        </w:rPr>
        <w:t xml:space="preserve">De gepresenteerde resultaten moeten worden gezien als de beste inschatting van de werkelijke waardes. Bijna alle gebruikte gegevens voor de berekening van de CO2 footprint zijn gebaseerd op facturen en/of werkelijk gemeten aantallen. Hierdoor is de onzekerheidsmarge zeer gering. Er zijn geen onzekerheden, anders dan in paragraaf 6 onder scope 1 en scope 2 worden vermeld. </w:t>
      </w:r>
    </w:p>
    <w:p w14:paraId="3BB840ED" w14:textId="77777777" w:rsidR="0062475E" w:rsidRPr="00006D98" w:rsidRDefault="0062475E" w:rsidP="0062475E">
      <w:pPr>
        <w:pStyle w:val="Kop1"/>
        <w:numPr>
          <w:ilvl w:val="0"/>
          <w:numId w:val="1"/>
        </w:numPr>
        <w:rPr>
          <w:b/>
          <w:bCs/>
          <w:color w:val="002060"/>
          <w:sz w:val="22"/>
          <w:szCs w:val="22"/>
        </w:rPr>
      </w:pPr>
      <w:bookmarkStart w:id="9" w:name="_Toc88559543"/>
      <w:r w:rsidRPr="00006D98">
        <w:rPr>
          <w:b/>
          <w:bCs/>
          <w:color w:val="002060"/>
          <w:sz w:val="22"/>
          <w:szCs w:val="22"/>
        </w:rPr>
        <w:t>Rapportage volgens ISO 14064 deel 9</w:t>
      </w:r>
      <w:bookmarkEnd w:id="9"/>
    </w:p>
    <w:p w14:paraId="269F90D3" w14:textId="77777777" w:rsidR="0062475E" w:rsidRPr="00211D75" w:rsidRDefault="0062475E" w:rsidP="0062475E">
      <w:pPr>
        <w:pStyle w:val="Geenafstand"/>
        <w:rPr>
          <w:color w:val="002060"/>
        </w:rPr>
      </w:pPr>
      <w:r w:rsidRPr="00211D75">
        <w:rPr>
          <w:color w:val="002060"/>
        </w:rPr>
        <w:t xml:space="preserve">Dit rapport is opgesteld volgens de eisen uit ISO 14064-1 paragraaf 9.3.1 In onderstaande tabel is een cross </w:t>
      </w:r>
      <w:proofErr w:type="spellStart"/>
      <w:r w:rsidRPr="00211D75">
        <w:rPr>
          <w:color w:val="002060"/>
        </w:rPr>
        <w:t>reference</w:t>
      </w:r>
      <w:proofErr w:type="spellEnd"/>
      <w:r w:rsidRPr="00211D75">
        <w:rPr>
          <w:color w:val="002060"/>
        </w:rPr>
        <w:t xml:space="preserve"> gemaakt van de onderdelen uit ISO 14064 en de hoofdstukken in het rapport.</w:t>
      </w:r>
    </w:p>
    <w:p w14:paraId="5283C87E" w14:textId="77777777" w:rsidR="0062475E" w:rsidRPr="00211D75" w:rsidRDefault="0062475E" w:rsidP="0062475E">
      <w:pPr>
        <w:pStyle w:val="Geenafstand"/>
        <w:rPr>
          <w:color w:val="00206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6306"/>
        <w:gridCol w:w="1842"/>
      </w:tblGrid>
      <w:tr w:rsidR="0062475E" w:rsidRPr="00211D75" w14:paraId="0F3C9610" w14:textId="77777777" w:rsidTr="001A1097">
        <w:tc>
          <w:tcPr>
            <w:tcW w:w="7225" w:type="dxa"/>
            <w:gridSpan w:val="2"/>
            <w:shd w:val="clear" w:color="auto" w:fill="0B3B60"/>
          </w:tcPr>
          <w:p w14:paraId="24AF5B73" w14:textId="77777777" w:rsidR="0062475E" w:rsidRPr="00664113" w:rsidRDefault="0062475E" w:rsidP="001A1097">
            <w:pPr>
              <w:pStyle w:val="Geenafstand"/>
              <w:rPr>
                <w:b/>
                <w:color w:val="FFFFFF" w:themeColor="background1"/>
              </w:rPr>
            </w:pPr>
            <w:r w:rsidRPr="00664113">
              <w:rPr>
                <w:b/>
                <w:color w:val="FFFFFF" w:themeColor="background1"/>
              </w:rPr>
              <w:t>Eisen § 9.3 GHG report content</w:t>
            </w:r>
          </w:p>
        </w:tc>
        <w:tc>
          <w:tcPr>
            <w:tcW w:w="1842" w:type="dxa"/>
            <w:shd w:val="clear" w:color="auto" w:fill="0B3B60"/>
          </w:tcPr>
          <w:p w14:paraId="7653FDCD" w14:textId="77777777" w:rsidR="0062475E" w:rsidRPr="00211D75" w:rsidRDefault="0062475E" w:rsidP="001A1097">
            <w:pPr>
              <w:pStyle w:val="Geenafstand"/>
              <w:rPr>
                <w:b/>
                <w:color w:val="002060"/>
              </w:rPr>
            </w:pPr>
            <w:r w:rsidRPr="00211D75">
              <w:rPr>
                <w:b/>
                <w:color w:val="002060"/>
              </w:rPr>
              <w:t xml:space="preserve">Deze rapportage </w:t>
            </w:r>
          </w:p>
        </w:tc>
      </w:tr>
      <w:tr w:rsidR="0062475E" w:rsidRPr="00211D75" w14:paraId="369E81BE" w14:textId="77777777" w:rsidTr="001A1097">
        <w:tc>
          <w:tcPr>
            <w:tcW w:w="919" w:type="dxa"/>
          </w:tcPr>
          <w:p w14:paraId="2255AF91" w14:textId="77777777" w:rsidR="0062475E" w:rsidRPr="00211D75" w:rsidRDefault="0062475E" w:rsidP="001A1097">
            <w:pPr>
              <w:pStyle w:val="Geenafstand"/>
              <w:rPr>
                <w:color w:val="002060"/>
              </w:rPr>
            </w:pPr>
            <w:r w:rsidRPr="00211D75">
              <w:rPr>
                <w:color w:val="002060"/>
              </w:rPr>
              <w:t>a</w:t>
            </w:r>
          </w:p>
        </w:tc>
        <w:tc>
          <w:tcPr>
            <w:tcW w:w="6306" w:type="dxa"/>
          </w:tcPr>
          <w:p w14:paraId="4C3D19A7" w14:textId="77777777" w:rsidR="0062475E" w:rsidRPr="00211D75" w:rsidRDefault="0062475E" w:rsidP="001A1097">
            <w:pPr>
              <w:pStyle w:val="Geenafstand"/>
              <w:rPr>
                <w:color w:val="002060"/>
                <w:lang w:val="en-US"/>
              </w:rPr>
            </w:pPr>
            <w:r w:rsidRPr="00211D75">
              <w:rPr>
                <w:color w:val="002060"/>
                <w:lang w:val="en-US"/>
              </w:rPr>
              <w:t>Description of the reporting organization</w:t>
            </w:r>
          </w:p>
        </w:tc>
        <w:tc>
          <w:tcPr>
            <w:tcW w:w="1842" w:type="dxa"/>
          </w:tcPr>
          <w:p w14:paraId="5F0DFC8C" w14:textId="77777777" w:rsidR="0062475E" w:rsidRPr="00211D75" w:rsidRDefault="0062475E" w:rsidP="001A1097">
            <w:pPr>
              <w:pStyle w:val="Geenafstand"/>
              <w:rPr>
                <w:color w:val="002060"/>
              </w:rPr>
            </w:pPr>
            <w:r w:rsidRPr="00211D75">
              <w:rPr>
                <w:color w:val="002060"/>
              </w:rPr>
              <w:t>2</w:t>
            </w:r>
          </w:p>
        </w:tc>
      </w:tr>
      <w:tr w:rsidR="0062475E" w:rsidRPr="00211D75" w14:paraId="1382074E" w14:textId="77777777" w:rsidTr="001A1097">
        <w:tc>
          <w:tcPr>
            <w:tcW w:w="919" w:type="dxa"/>
          </w:tcPr>
          <w:p w14:paraId="79E42BAA" w14:textId="77777777" w:rsidR="0062475E" w:rsidRPr="00211D75" w:rsidRDefault="0062475E" w:rsidP="001A1097">
            <w:pPr>
              <w:pStyle w:val="Geenafstand"/>
              <w:rPr>
                <w:color w:val="002060"/>
              </w:rPr>
            </w:pPr>
            <w:r w:rsidRPr="00211D75">
              <w:rPr>
                <w:color w:val="002060"/>
              </w:rPr>
              <w:t>b</w:t>
            </w:r>
          </w:p>
        </w:tc>
        <w:tc>
          <w:tcPr>
            <w:tcW w:w="6306" w:type="dxa"/>
          </w:tcPr>
          <w:p w14:paraId="416C0A33" w14:textId="77777777" w:rsidR="0062475E" w:rsidRPr="00211D75" w:rsidRDefault="0062475E" w:rsidP="001A1097">
            <w:pPr>
              <w:pStyle w:val="Geenafstand"/>
              <w:rPr>
                <w:color w:val="002060"/>
                <w:lang w:val="en-US"/>
              </w:rPr>
            </w:pPr>
            <w:r w:rsidRPr="00211D75">
              <w:rPr>
                <w:color w:val="002060"/>
                <w:lang w:val="en-US"/>
              </w:rPr>
              <w:t>Person or entity responsible for the report</w:t>
            </w:r>
          </w:p>
        </w:tc>
        <w:tc>
          <w:tcPr>
            <w:tcW w:w="1842" w:type="dxa"/>
          </w:tcPr>
          <w:p w14:paraId="68D020AA" w14:textId="77777777" w:rsidR="0062475E" w:rsidRPr="00211D75" w:rsidRDefault="0062475E" w:rsidP="001A1097">
            <w:pPr>
              <w:pStyle w:val="Geenafstand"/>
              <w:rPr>
                <w:color w:val="002060"/>
              </w:rPr>
            </w:pPr>
            <w:r w:rsidRPr="00211D75">
              <w:rPr>
                <w:color w:val="002060"/>
              </w:rPr>
              <w:t>3</w:t>
            </w:r>
          </w:p>
        </w:tc>
      </w:tr>
      <w:tr w:rsidR="0062475E" w:rsidRPr="00211D75" w14:paraId="3D4BFFA8" w14:textId="77777777" w:rsidTr="001A1097">
        <w:tc>
          <w:tcPr>
            <w:tcW w:w="919" w:type="dxa"/>
          </w:tcPr>
          <w:p w14:paraId="7E5F043D" w14:textId="77777777" w:rsidR="0062475E" w:rsidRPr="00211D75" w:rsidRDefault="0062475E" w:rsidP="001A1097">
            <w:pPr>
              <w:pStyle w:val="Geenafstand"/>
              <w:rPr>
                <w:color w:val="002060"/>
              </w:rPr>
            </w:pPr>
            <w:r w:rsidRPr="00211D75">
              <w:rPr>
                <w:color w:val="002060"/>
              </w:rPr>
              <w:t>c</w:t>
            </w:r>
          </w:p>
        </w:tc>
        <w:tc>
          <w:tcPr>
            <w:tcW w:w="6306" w:type="dxa"/>
          </w:tcPr>
          <w:p w14:paraId="1E328E40" w14:textId="77777777" w:rsidR="0062475E" w:rsidRPr="00211D75" w:rsidRDefault="0062475E" w:rsidP="001A1097">
            <w:pPr>
              <w:pStyle w:val="Geenafstand"/>
              <w:rPr>
                <w:color w:val="002060"/>
              </w:rPr>
            </w:pPr>
            <w:r w:rsidRPr="00211D75">
              <w:rPr>
                <w:color w:val="002060"/>
              </w:rPr>
              <w:t xml:space="preserve">Reporting </w:t>
            </w:r>
            <w:proofErr w:type="spellStart"/>
            <w:r w:rsidRPr="00211D75">
              <w:rPr>
                <w:color w:val="002060"/>
              </w:rPr>
              <w:t>period</w:t>
            </w:r>
            <w:proofErr w:type="spellEnd"/>
            <w:r w:rsidRPr="00211D75">
              <w:rPr>
                <w:color w:val="002060"/>
              </w:rPr>
              <w:t xml:space="preserve"> </w:t>
            </w:r>
            <w:proofErr w:type="spellStart"/>
            <w:r w:rsidRPr="00211D75">
              <w:rPr>
                <w:color w:val="002060"/>
              </w:rPr>
              <w:t>covered</w:t>
            </w:r>
            <w:proofErr w:type="spellEnd"/>
          </w:p>
        </w:tc>
        <w:tc>
          <w:tcPr>
            <w:tcW w:w="1842" w:type="dxa"/>
          </w:tcPr>
          <w:p w14:paraId="1487EAEB" w14:textId="77777777" w:rsidR="0062475E" w:rsidRPr="00211D75" w:rsidRDefault="0062475E" w:rsidP="001A1097">
            <w:pPr>
              <w:pStyle w:val="Geenafstand"/>
              <w:rPr>
                <w:color w:val="002060"/>
              </w:rPr>
            </w:pPr>
            <w:r w:rsidRPr="00211D75">
              <w:rPr>
                <w:color w:val="002060"/>
              </w:rPr>
              <w:t>4</w:t>
            </w:r>
          </w:p>
        </w:tc>
      </w:tr>
      <w:tr w:rsidR="0062475E" w:rsidRPr="00211D75" w14:paraId="16EF247B" w14:textId="77777777" w:rsidTr="001A1097">
        <w:tc>
          <w:tcPr>
            <w:tcW w:w="919" w:type="dxa"/>
          </w:tcPr>
          <w:p w14:paraId="279B920B" w14:textId="77777777" w:rsidR="0062475E" w:rsidRPr="00211D75" w:rsidRDefault="0062475E" w:rsidP="001A1097">
            <w:pPr>
              <w:pStyle w:val="Geenafstand"/>
              <w:rPr>
                <w:color w:val="002060"/>
              </w:rPr>
            </w:pPr>
            <w:r w:rsidRPr="00211D75">
              <w:rPr>
                <w:color w:val="002060"/>
              </w:rPr>
              <w:t>d</w:t>
            </w:r>
          </w:p>
        </w:tc>
        <w:tc>
          <w:tcPr>
            <w:tcW w:w="6306" w:type="dxa"/>
          </w:tcPr>
          <w:p w14:paraId="163E8AD0" w14:textId="77777777" w:rsidR="0062475E" w:rsidRPr="00211D75" w:rsidRDefault="0062475E" w:rsidP="001A1097">
            <w:pPr>
              <w:pStyle w:val="Geenafstand"/>
              <w:rPr>
                <w:color w:val="002060"/>
              </w:rPr>
            </w:pPr>
            <w:proofErr w:type="spellStart"/>
            <w:r w:rsidRPr="00211D75">
              <w:rPr>
                <w:color w:val="002060"/>
              </w:rPr>
              <w:t>Documentation</w:t>
            </w:r>
            <w:proofErr w:type="spellEnd"/>
            <w:r w:rsidRPr="00211D75">
              <w:rPr>
                <w:color w:val="002060"/>
              </w:rPr>
              <w:t xml:space="preserve"> of </w:t>
            </w:r>
            <w:proofErr w:type="spellStart"/>
            <w:r w:rsidRPr="00211D75">
              <w:rPr>
                <w:color w:val="002060"/>
              </w:rPr>
              <w:t>organizational</w:t>
            </w:r>
            <w:proofErr w:type="spellEnd"/>
            <w:r w:rsidRPr="00211D75">
              <w:rPr>
                <w:color w:val="002060"/>
              </w:rPr>
              <w:t xml:space="preserve"> </w:t>
            </w:r>
            <w:proofErr w:type="spellStart"/>
            <w:r w:rsidRPr="00211D75">
              <w:rPr>
                <w:color w:val="002060"/>
              </w:rPr>
              <w:t>boundaries</w:t>
            </w:r>
            <w:proofErr w:type="spellEnd"/>
          </w:p>
        </w:tc>
        <w:tc>
          <w:tcPr>
            <w:tcW w:w="1842" w:type="dxa"/>
          </w:tcPr>
          <w:p w14:paraId="786006BB" w14:textId="77777777" w:rsidR="0062475E" w:rsidRPr="00211D75" w:rsidRDefault="0062475E" w:rsidP="001A1097">
            <w:pPr>
              <w:pStyle w:val="Geenafstand"/>
              <w:rPr>
                <w:color w:val="002060"/>
              </w:rPr>
            </w:pPr>
            <w:r w:rsidRPr="00211D75">
              <w:rPr>
                <w:color w:val="002060"/>
              </w:rPr>
              <w:t>5</w:t>
            </w:r>
          </w:p>
        </w:tc>
      </w:tr>
      <w:tr w:rsidR="0062475E" w:rsidRPr="00211D75" w14:paraId="12C68060" w14:textId="77777777" w:rsidTr="001A1097">
        <w:tc>
          <w:tcPr>
            <w:tcW w:w="919" w:type="dxa"/>
          </w:tcPr>
          <w:p w14:paraId="6F572F90" w14:textId="77777777" w:rsidR="0062475E" w:rsidRPr="00211D75" w:rsidRDefault="0062475E" w:rsidP="001A1097">
            <w:pPr>
              <w:pStyle w:val="Geenafstand"/>
              <w:rPr>
                <w:color w:val="002060"/>
              </w:rPr>
            </w:pPr>
            <w:r w:rsidRPr="00211D75">
              <w:rPr>
                <w:color w:val="002060"/>
              </w:rPr>
              <w:t>e</w:t>
            </w:r>
          </w:p>
        </w:tc>
        <w:tc>
          <w:tcPr>
            <w:tcW w:w="6306" w:type="dxa"/>
          </w:tcPr>
          <w:p w14:paraId="7EC89FF2" w14:textId="77777777" w:rsidR="0062475E" w:rsidRPr="00211D75" w:rsidRDefault="0062475E" w:rsidP="001A1097">
            <w:pPr>
              <w:pStyle w:val="Geenafstand"/>
              <w:rPr>
                <w:color w:val="002060"/>
                <w:lang w:val="en-US"/>
              </w:rPr>
            </w:pPr>
            <w:r w:rsidRPr="00211D75">
              <w:rPr>
                <w:color w:val="002060"/>
                <w:lang w:val="en-US"/>
              </w:rPr>
              <w:t>Documentation of reporting boundaries, including criteria determined by the organization to define significant emissions</w:t>
            </w:r>
          </w:p>
        </w:tc>
        <w:tc>
          <w:tcPr>
            <w:tcW w:w="1842" w:type="dxa"/>
          </w:tcPr>
          <w:p w14:paraId="71ACF1D6" w14:textId="77777777" w:rsidR="0062475E" w:rsidRPr="00211D75" w:rsidRDefault="0062475E" w:rsidP="001A1097">
            <w:pPr>
              <w:pStyle w:val="Geenafstand"/>
              <w:rPr>
                <w:color w:val="002060"/>
              </w:rPr>
            </w:pPr>
            <w:r w:rsidRPr="00211D75">
              <w:rPr>
                <w:color w:val="002060"/>
              </w:rPr>
              <w:t>5</w:t>
            </w:r>
          </w:p>
        </w:tc>
      </w:tr>
      <w:tr w:rsidR="0062475E" w:rsidRPr="00211D75" w14:paraId="58A481EB" w14:textId="77777777" w:rsidTr="001A1097">
        <w:tc>
          <w:tcPr>
            <w:tcW w:w="919" w:type="dxa"/>
          </w:tcPr>
          <w:p w14:paraId="6437B06D" w14:textId="77777777" w:rsidR="0062475E" w:rsidRPr="00211D75" w:rsidRDefault="0062475E" w:rsidP="001A1097">
            <w:pPr>
              <w:pStyle w:val="Geenafstand"/>
              <w:rPr>
                <w:color w:val="002060"/>
              </w:rPr>
            </w:pPr>
            <w:r w:rsidRPr="00211D75">
              <w:rPr>
                <w:color w:val="002060"/>
              </w:rPr>
              <w:t>f</w:t>
            </w:r>
          </w:p>
        </w:tc>
        <w:tc>
          <w:tcPr>
            <w:tcW w:w="6306" w:type="dxa"/>
          </w:tcPr>
          <w:p w14:paraId="47781F5D" w14:textId="77777777" w:rsidR="0062475E" w:rsidRPr="00211D75" w:rsidRDefault="0062475E" w:rsidP="001A1097">
            <w:pPr>
              <w:pStyle w:val="Geenafstand"/>
              <w:rPr>
                <w:color w:val="002060"/>
                <w:lang w:val="en-US"/>
              </w:rPr>
            </w:pPr>
            <w:r w:rsidRPr="00211D75">
              <w:rPr>
                <w:color w:val="002060"/>
                <w:lang w:val="en-US"/>
              </w:rPr>
              <w:t xml:space="preserve">Direct GHG emissions, quantified separately for CO2, CH4, N2O, NF3, SF6 and other appropriate GHG groups (HFC’s, PFCs, etc.) in </w:t>
            </w:r>
            <w:proofErr w:type="spellStart"/>
            <w:r w:rsidRPr="00211D75">
              <w:rPr>
                <w:color w:val="002060"/>
                <w:lang w:val="en-US"/>
              </w:rPr>
              <w:t>tonnes</w:t>
            </w:r>
            <w:proofErr w:type="spellEnd"/>
            <w:r w:rsidRPr="00211D75">
              <w:rPr>
                <w:color w:val="002060"/>
                <w:lang w:val="en-US"/>
              </w:rPr>
              <w:t xml:space="preserve"> of CO2e</w:t>
            </w:r>
          </w:p>
        </w:tc>
        <w:tc>
          <w:tcPr>
            <w:tcW w:w="1842" w:type="dxa"/>
          </w:tcPr>
          <w:p w14:paraId="6657FD7D" w14:textId="77777777" w:rsidR="0062475E" w:rsidRPr="00211D75" w:rsidRDefault="0062475E" w:rsidP="001A1097">
            <w:pPr>
              <w:pStyle w:val="Geenafstand"/>
              <w:rPr>
                <w:color w:val="002060"/>
              </w:rPr>
            </w:pPr>
            <w:r w:rsidRPr="00211D75">
              <w:rPr>
                <w:color w:val="002060"/>
              </w:rPr>
              <w:t>6</w:t>
            </w:r>
          </w:p>
        </w:tc>
      </w:tr>
      <w:tr w:rsidR="0062475E" w:rsidRPr="00211D75" w14:paraId="5A345A1A" w14:textId="77777777" w:rsidTr="001A1097">
        <w:tc>
          <w:tcPr>
            <w:tcW w:w="919" w:type="dxa"/>
          </w:tcPr>
          <w:p w14:paraId="3A190896" w14:textId="77777777" w:rsidR="0062475E" w:rsidRPr="00211D75" w:rsidRDefault="0062475E" w:rsidP="001A1097">
            <w:pPr>
              <w:pStyle w:val="Geenafstand"/>
              <w:rPr>
                <w:color w:val="002060"/>
              </w:rPr>
            </w:pPr>
            <w:r w:rsidRPr="00211D75">
              <w:rPr>
                <w:color w:val="002060"/>
              </w:rPr>
              <w:t>g</w:t>
            </w:r>
          </w:p>
        </w:tc>
        <w:tc>
          <w:tcPr>
            <w:tcW w:w="6306" w:type="dxa"/>
          </w:tcPr>
          <w:p w14:paraId="6D6B31C4" w14:textId="77777777" w:rsidR="0062475E" w:rsidRPr="00211D75" w:rsidRDefault="0062475E" w:rsidP="001A1097">
            <w:pPr>
              <w:pStyle w:val="Geenafstand"/>
              <w:rPr>
                <w:color w:val="002060"/>
                <w:lang w:val="en-US"/>
              </w:rPr>
            </w:pPr>
            <w:r w:rsidRPr="00211D75">
              <w:rPr>
                <w:color w:val="002060"/>
                <w:lang w:val="en-US"/>
              </w:rPr>
              <w:t xml:space="preserve">A description of how biogenic CO2 emissions and removals are treated in the GHG inventory and the relevant biogenic CO2 emissions and removals quantified separately in </w:t>
            </w:r>
            <w:proofErr w:type="spellStart"/>
            <w:r w:rsidRPr="00211D75">
              <w:rPr>
                <w:color w:val="002060"/>
                <w:lang w:val="en-US"/>
              </w:rPr>
              <w:t>tonnes</w:t>
            </w:r>
            <w:proofErr w:type="spellEnd"/>
            <w:r w:rsidRPr="00211D75">
              <w:rPr>
                <w:color w:val="002060"/>
                <w:lang w:val="en-US"/>
              </w:rPr>
              <w:t xml:space="preserve"> of CO2e</w:t>
            </w:r>
          </w:p>
        </w:tc>
        <w:tc>
          <w:tcPr>
            <w:tcW w:w="1842" w:type="dxa"/>
          </w:tcPr>
          <w:p w14:paraId="44610CC9" w14:textId="77777777" w:rsidR="0062475E" w:rsidRPr="00211D75" w:rsidRDefault="0062475E" w:rsidP="001A1097">
            <w:pPr>
              <w:pStyle w:val="Geenafstand"/>
              <w:rPr>
                <w:color w:val="002060"/>
              </w:rPr>
            </w:pPr>
            <w:r w:rsidRPr="00211D75">
              <w:rPr>
                <w:color w:val="002060"/>
              </w:rPr>
              <w:t>6</w:t>
            </w:r>
          </w:p>
        </w:tc>
      </w:tr>
      <w:tr w:rsidR="0062475E" w:rsidRPr="00211D75" w14:paraId="4CACFE23" w14:textId="77777777" w:rsidTr="001A1097">
        <w:tc>
          <w:tcPr>
            <w:tcW w:w="919" w:type="dxa"/>
          </w:tcPr>
          <w:p w14:paraId="2571848B" w14:textId="77777777" w:rsidR="0062475E" w:rsidRPr="00211D75" w:rsidRDefault="0062475E" w:rsidP="001A1097">
            <w:pPr>
              <w:pStyle w:val="Geenafstand"/>
              <w:rPr>
                <w:color w:val="002060"/>
              </w:rPr>
            </w:pPr>
            <w:r w:rsidRPr="00211D75">
              <w:rPr>
                <w:color w:val="002060"/>
              </w:rPr>
              <w:t>h</w:t>
            </w:r>
          </w:p>
        </w:tc>
        <w:tc>
          <w:tcPr>
            <w:tcW w:w="6306" w:type="dxa"/>
          </w:tcPr>
          <w:p w14:paraId="0EF68DF5" w14:textId="77777777" w:rsidR="0062475E" w:rsidRPr="00211D75" w:rsidRDefault="0062475E" w:rsidP="001A1097">
            <w:pPr>
              <w:pStyle w:val="Geenafstand"/>
              <w:rPr>
                <w:color w:val="002060"/>
                <w:lang w:val="en-US"/>
              </w:rPr>
            </w:pPr>
            <w:r w:rsidRPr="00211D75">
              <w:rPr>
                <w:color w:val="002060"/>
                <w:lang w:val="en-US"/>
              </w:rPr>
              <w:t>If quantified, direct GHG removals, in tons of CO2e</w:t>
            </w:r>
          </w:p>
        </w:tc>
        <w:tc>
          <w:tcPr>
            <w:tcW w:w="1842" w:type="dxa"/>
          </w:tcPr>
          <w:p w14:paraId="23B0B218" w14:textId="77777777" w:rsidR="0062475E" w:rsidRPr="00211D75" w:rsidRDefault="0062475E" w:rsidP="001A1097">
            <w:pPr>
              <w:pStyle w:val="Geenafstand"/>
              <w:rPr>
                <w:color w:val="002060"/>
              </w:rPr>
            </w:pPr>
            <w:r w:rsidRPr="00211D75">
              <w:rPr>
                <w:color w:val="002060"/>
              </w:rPr>
              <w:t>6</w:t>
            </w:r>
          </w:p>
        </w:tc>
      </w:tr>
      <w:tr w:rsidR="0062475E" w:rsidRPr="00211D75" w14:paraId="1E7098A2" w14:textId="77777777" w:rsidTr="001A1097">
        <w:tc>
          <w:tcPr>
            <w:tcW w:w="919" w:type="dxa"/>
          </w:tcPr>
          <w:p w14:paraId="239E6021" w14:textId="77777777" w:rsidR="0062475E" w:rsidRPr="00211D75" w:rsidRDefault="0062475E" w:rsidP="001A1097">
            <w:pPr>
              <w:pStyle w:val="Geenafstand"/>
              <w:rPr>
                <w:color w:val="002060"/>
              </w:rPr>
            </w:pPr>
            <w:r w:rsidRPr="00211D75">
              <w:rPr>
                <w:color w:val="002060"/>
              </w:rPr>
              <w:t>i</w:t>
            </w:r>
          </w:p>
        </w:tc>
        <w:tc>
          <w:tcPr>
            <w:tcW w:w="6306" w:type="dxa"/>
          </w:tcPr>
          <w:p w14:paraId="0DDA9C8C" w14:textId="77777777" w:rsidR="0062475E" w:rsidRPr="00211D75" w:rsidRDefault="0062475E" w:rsidP="001A1097">
            <w:pPr>
              <w:pStyle w:val="Geenafstand"/>
              <w:rPr>
                <w:color w:val="002060"/>
                <w:lang w:val="en-US"/>
              </w:rPr>
            </w:pPr>
            <w:r w:rsidRPr="00211D75">
              <w:rPr>
                <w:color w:val="002060"/>
                <w:lang w:val="en-US"/>
              </w:rPr>
              <w:t>Explanation of the exclusion of any significant GHG sources or sinks from the quantification</w:t>
            </w:r>
          </w:p>
        </w:tc>
        <w:tc>
          <w:tcPr>
            <w:tcW w:w="1842" w:type="dxa"/>
          </w:tcPr>
          <w:p w14:paraId="16B45013" w14:textId="77777777" w:rsidR="0062475E" w:rsidRPr="00211D75" w:rsidRDefault="0062475E" w:rsidP="001A1097">
            <w:pPr>
              <w:pStyle w:val="Geenafstand"/>
              <w:rPr>
                <w:color w:val="002060"/>
              </w:rPr>
            </w:pPr>
            <w:r w:rsidRPr="00211D75">
              <w:rPr>
                <w:color w:val="002060"/>
              </w:rPr>
              <w:t>6</w:t>
            </w:r>
          </w:p>
        </w:tc>
      </w:tr>
      <w:tr w:rsidR="0062475E" w:rsidRPr="00211D75" w14:paraId="5264F070" w14:textId="77777777" w:rsidTr="001A1097">
        <w:tc>
          <w:tcPr>
            <w:tcW w:w="919" w:type="dxa"/>
          </w:tcPr>
          <w:p w14:paraId="609C4D60" w14:textId="77777777" w:rsidR="0062475E" w:rsidRPr="00211D75" w:rsidRDefault="0062475E" w:rsidP="001A1097">
            <w:pPr>
              <w:pStyle w:val="Geenafstand"/>
              <w:rPr>
                <w:color w:val="002060"/>
              </w:rPr>
            </w:pPr>
            <w:r w:rsidRPr="00211D75">
              <w:rPr>
                <w:color w:val="002060"/>
              </w:rPr>
              <w:t>j</w:t>
            </w:r>
          </w:p>
        </w:tc>
        <w:tc>
          <w:tcPr>
            <w:tcW w:w="6306" w:type="dxa"/>
          </w:tcPr>
          <w:p w14:paraId="67514380" w14:textId="77777777" w:rsidR="0062475E" w:rsidRPr="00211D75" w:rsidRDefault="0062475E" w:rsidP="001A1097">
            <w:pPr>
              <w:pStyle w:val="Geenafstand"/>
              <w:rPr>
                <w:color w:val="002060"/>
                <w:lang w:val="en-US"/>
              </w:rPr>
            </w:pPr>
            <w:r w:rsidRPr="00211D75">
              <w:rPr>
                <w:color w:val="002060"/>
                <w:lang w:val="en-US"/>
              </w:rPr>
              <w:t>Quantified indirect GHG emissions separated by category in tons of CO2e</w:t>
            </w:r>
          </w:p>
        </w:tc>
        <w:tc>
          <w:tcPr>
            <w:tcW w:w="1842" w:type="dxa"/>
          </w:tcPr>
          <w:p w14:paraId="3397675C" w14:textId="77777777" w:rsidR="0062475E" w:rsidRPr="00211D75" w:rsidRDefault="0062475E" w:rsidP="001A1097">
            <w:pPr>
              <w:pStyle w:val="Geenafstand"/>
              <w:rPr>
                <w:color w:val="002060"/>
              </w:rPr>
            </w:pPr>
            <w:r w:rsidRPr="00211D75">
              <w:rPr>
                <w:color w:val="002060"/>
              </w:rPr>
              <w:t>6</w:t>
            </w:r>
          </w:p>
        </w:tc>
      </w:tr>
      <w:tr w:rsidR="0062475E" w:rsidRPr="00211D75" w14:paraId="71631389" w14:textId="77777777" w:rsidTr="001A1097">
        <w:tc>
          <w:tcPr>
            <w:tcW w:w="919" w:type="dxa"/>
          </w:tcPr>
          <w:p w14:paraId="0568E57D" w14:textId="77777777" w:rsidR="0062475E" w:rsidRPr="00211D75" w:rsidRDefault="0062475E" w:rsidP="001A1097">
            <w:pPr>
              <w:pStyle w:val="Geenafstand"/>
              <w:rPr>
                <w:color w:val="002060"/>
              </w:rPr>
            </w:pPr>
            <w:r w:rsidRPr="00211D75">
              <w:rPr>
                <w:color w:val="002060"/>
              </w:rPr>
              <w:t>k</w:t>
            </w:r>
          </w:p>
        </w:tc>
        <w:tc>
          <w:tcPr>
            <w:tcW w:w="6306" w:type="dxa"/>
          </w:tcPr>
          <w:p w14:paraId="243895FF" w14:textId="77777777" w:rsidR="0062475E" w:rsidRPr="00211D75" w:rsidRDefault="0062475E" w:rsidP="001A1097">
            <w:pPr>
              <w:pStyle w:val="Geenafstand"/>
              <w:rPr>
                <w:color w:val="002060"/>
                <w:lang w:val="en-US"/>
              </w:rPr>
            </w:pPr>
            <w:r w:rsidRPr="00211D75">
              <w:rPr>
                <w:color w:val="002060"/>
                <w:lang w:val="en-US"/>
              </w:rPr>
              <w:t>The historical base selected and the base-year GHG inventory</w:t>
            </w:r>
          </w:p>
        </w:tc>
        <w:tc>
          <w:tcPr>
            <w:tcW w:w="1842" w:type="dxa"/>
          </w:tcPr>
          <w:p w14:paraId="29DF2A36" w14:textId="77777777" w:rsidR="0062475E" w:rsidRPr="00211D75" w:rsidRDefault="0062475E" w:rsidP="001A1097">
            <w:pPr>
              <w:pStyle w:val="Geenafstand"/>
              <w:rPr>
                <w:color w:val="002060"/>
              </w:rPr>
            </w:pPr>
            <w:r w:rsidRPr="00211D75">
              <w:rPr>
                <w:color w:val="002060"/>
              </w:rPr>
              <w:t>4</w:t>
            </w:r>
          </w:p>
        </w:tc>
      </w:tr>
      <w:tr w:rsidR="0062475E" w:rsidRPr="00211D75" w14:paraId="357F0C7D" w14:textId="77777777" w:rsidTr="001A1097">
        <w:tc>
          <w:tcPr>
            <w:tcW w:w="919" w:type="dxa"/>
          </w:tcPr>
          <w:p w14:paraId="00F15846" w14:textId="77777777" w:rsidR="0062475E" w:rsidRPr="00211D75" w:rsidRDefault="0062475E" w:rsidP="001A1097">
            <w:pPr>
              <w:pStyle w:val="Geenafstand"/>
              <w:rPr>
                <w:color w:val="002060"/>
              </w:rPr>
            </w:pPr>
            <w:r w:rsidRPr="00211D75">
              <w:rPr>
                <w:color w:val="002060"/>
              </w:rPr>
              <w:t>l</w:t>
            </w:r>
          </w:p>
        </w:tc>
        <w:tc>
          <w:tcPr>
            <w:tcW w:w="6306" w:type="dxa"/>
          </w:tcPr>
          <w:p w14:paraId="45D41F51" w14:textId="77777777" w:rsidR="0062475E" w:rsidRPr="00211D75" w:rsidRDefault="0062475E" w:rsidP="001A1097">
            <w:pPr>
              <w:pStyle w:val="Geenafstand"/>
              <w:rPr>
                <w:color w:val="002060"/>
                <w:lang w:val="en-US"/>
              </w:rPr>
            </w:pPr>
            <w:r w:rsidRPr="00211D75">
              <w:rPr>
                <w:color w:val="002060"/>
                <w:lang w:val="en-US"/>
              </w:rPr>
              <w:t xml:space="preserve">Explanation of any change to the base year or other historical GHG data or categorization and any recalculation of the base year or </w:t>
            </w:r>
            <w:r w:rsidRPr="00211D75">
              <w:rPr>
                <w:color w:val="002060"/>
                <w:lang w:val="en-US"/>
              </w:rPr>
              <w:lastRenderedPageBreak/>
              <w:t>other historical GHG inventory and documentation of any limitations to comparability resulting from such recalculation</w:t>
            </w:r>
          </w:p>
        </w:tc>
        <w:tc>
          <w:tcPr>
            <w:tcW w:w="1842" w:type="dxa"/>
          </w:tcPr>
          <w:p w14:paraId="75C22E81" w14:textId="77777777" w:rsidR="0062475E" w:rsidRPr="00211D75" w:rsidRDefault="0062475E" w:rsidP="001A1097">
            <w:pPr>
              <w:pStyle w:val="Geenafstand"/>
              <w:rPr>
                <w:color w:val="002060"/>
              </w:rPr>
            </w:pPr>
            <w:r w:rsidRPr="00211D75">
              <w:rPr>
                <w:color w:val="002060"/>
              </w:rPr>
              <w:lastRenderedPageBreak/>
              <w:t>4</w:t>
            </w:r>
          </w:p>
        </w:tc>
      </w:tr>
      <w:tr w:rsidR="0062475E" w:rsidRPr="00211D75" w14:paraId="71A8CAFE" w14:textId="77777777" w:rsidTr="001A1097">
        <w:tc>
          <w:tcPr>
            <w:tcW w:w="919" w:type="dxa"/>
          </w:tcPr>
          <w:p w14:paraId="660EFA8A" w14:textId="77777777" w:rsidR="0062475E" w:rsidRPr="00211D75" w:rsidRDefault="0062475E" w:rsidP="001A1097">
            <w:pPr>
              <w:pStyle w:val="Geenafstand"/>
              <w:rPr>
                <w:color w:val="002060"/>
              </w:rPr>
            </w:pPr>
            <w:r w:rsidRPr="00211D75">
              <w:rPr>
                <w:color w:val="002060"/>
              </w:rPr>
              <w:t>m</w:t>
            </w:r>
          </w:p>
        </w:tc>
        <w:tc>
          <w:tcPr>
            <w:tcW w:w="6306" w:type="dxa"/>
          </w:tcPr>
          <w:p w14:paraId="67AE65E2" w14:textId="77777777" w:rsidR="0062475E" w:rsidRPr="00211D75" w:rsidRDefault="0062475E" w:rsidP="001A1097">
            <w:pPr>
              <w:pStyle w:val="Geenafstand"/>
              <w:rPr>
                <w:color w:val="002060"/>
                <w:lang w:val="en-US"/>
              </w:rPr>
            </w:pPr>
            <w:r w:rsidRPr="00211D75">
              <w:rPr>
                <w:color w:val="002060"/>
                <w:lang w:val="en-US"/>
              </w:rPr>
              <w:t>Reference to, or description of, quantification approaches, including reasons for their selection</w:t>
            </w:r>
          </w:p>
        </w:tc>
        <w:tc>
          <w:tcPr>
            <w:tcW w:w="1842" w:type="dxa"/>
          </w:tcPr>
          <w:p w14:paraId="28878291" w14:textId="77777777" w:rsidR="0062475E" w:rsidRPr="00211D75" w:rsidRDefault="0062475E" w:rsidP="001A1097">
            <w:pPr>
              <w:pStyle w:val="Geenafstand"/>
              <w:rPr>
                <w:color w:val="002060"/>
              </w:rPr>
            </w:pPr>
            <w:r w:rsidRPr="00211D75">
              <w:rPr>
                <w:color w:val="002060"/>
              </w:rPr>
              <w:t>8</w:t>
            </w:r>
          </w:p>
        </w:tc>
      </w:tr>
      <w:tr w:rsidR="0062475E" w:rsidRPr="00211D75" w14:paraId="7F7DC3E1" w14:textId="77777777" w:rsidTr="001A1097">
        <w:tc>
          <w:tcPr>
            <w:tcW w:w="919" w:type="dxa"/>
          </w:tcPr>
          <w:p w14:paraId="738055B3" w14:textId="77777777" w:rsidR="0062475E" w:rsidRPr="00211D75" w:rsidRDefault="0062475E" w:rsidP="001A1097">
            <w:pPr>
              <w:pStyle w:val="Geenafstand"/>
              <w:rPr>
                <w:color w:val="002060"/>
              </w:rPr>
            </w:pPr>
            <w:r w:rsidRPr="00211D75">
              <w:rPr>
                <w:color w:val="002060"/>
              </w:rPr>
              <w:t>n</w:t>
            </w:r>
          </w:p>
        </w:tc>
        <w:tc>
          <w:tcPr>
            <w:tcW w:w="6306" w:type="dxa"/>
          </w:tcPr>
          <w:p w14:paraId="1D64B5BB" w14:textId="77777777" w:rsidR="0062475E" w:rsidRPr="00211D75" w:rsidRDefault="0062475E" w:rsidP="001A1097">
            <w:pPr>
              <w:pStyle w:val="Geenafstand"/>
              <w:rPr>
                <w:color w:val="002060"/>
                <w:lang w:val="en-US"/>
              </w:rPr>
            </w:pPr>
            <w:r w:rsidRPr="00211D75">
              <w:rPr>
                <w:color w:val="002060"/>
                <w:lang w:val="en-US"/>
              </w:rPr>
              <w:t>Explanation of any change to quantification approaches previously used</w:t>
            </w:r>
          </w:p>
        </w:tc>
        <w:tc>
          <w:tcPr>
            <w:tcW w:w="1842" w:type="dxa"/>
          </w:tcPr>
          <w:p w14:paraId="3B9C8A98" w14:textId="77777777" w:rsidR="0062475E" w:rsidRPr="00211D75" w:rsidRDefault="0062475E" w:rsidP="001A1097">
            <w:pPr>
              <w:pStyle w:val="Geenafstand"/>
              <w:rPr>
                <w:color w:val="002060"/>
              </w:rPr>
            </w:pPr>
            <w:r w:rsidRPr="00211D75">
              <w:rPr>
                <w:color w:val="002060"/>
              </w:rPr>
              <w:t>8</w:t>
            </w:r>
          </w:p>
        </w:tc>
      </w:tr>
      <w:tr w:rsidR="0062475E" w:rsidRPr="00211D75" w14:paraId="580B41E4" w14:textId="77777777" w:rsidTr="001A1097">
        <w:tc>
          <w:tcPr>
            <w:tcW w:w="919" w:type="dxa"/>
          </w:tcPr>
          <w:p w14:paraId="16D086B4" w14:textId="77777777" w:rsidR="0062475E" w:rsidRPr="00211D75" w:rsidRDefault="0062475E" w:rsidP="001A1097">
            <w:pPr>
              <w:pStyle w:val="Geenafstand"/>
              <w:rPr>
                <w:color w:val="002060"/>
              </w:rPr>
            </w:pPr>
            <w:r w:rsidRPr="00211D75">
              <w:rPr>
                <w:color w:val="002060"/>
              </w:rPr>
              <w:t>o</w:t>
            </w:r>
          </w:p>
        </w:tc>
        <w:tc>
          <w:tcPr>
            <w:tcW w:w="6306" w:type="dxa"/>
          </w:tcPr>
          <w:p w14:paraId="58CC5386" w14:textId="77777777" w:rsidR="0062475E" w:rsidRPr="00211D75" w:rsidRDefault="0062475E" w:rsidP="001A1097">
            <w:pPr>
              <w:pStyle w:val="Geenafstand"/>
              <w:rPr>
                <w:color w:val="002060"/>
                <w:lang w:val="en-US"/>
              </w:rPr>
            </w:pPr>
            <w:r w:rsidRPr="00211D75">
              <w:rPr>
                <w:color w:val="002060"/>
                <w:lang w:val="en-US"/>
              </w:rPr>
              <w:t>Reference to, or documentation of, GHG emission or removal factors used</w:t>
            </w:r>
          </w:p>
        </w:tc>
        <w:tc>
          <w:tcPr>
            <w:tcW w:w="1842" w:type="dxa"/>
          </w:tcPr>
          <w:p w14:paraId="31AD14FF" w14:textId="77777777" w:rsidR="0062475E" w:rsidRPr="00211D75" w:rsidRDefault="0062475E" w:rsidP="001A1097">
            <w:pPr>
              <w:pStyle w:val="Geenafstand"/>
              <w:rPr>
                <w:color w:val="002060"/>
              </w:rPr>
            </w:pPr>
            <w:r w:rsidRPr="00211D75">
              <w:rPr>
                <w:color w:val="002060"/>
              </w:rPr>
              <w:t>8</w:t>
            </w:r>
          </w:p>
        </w:tc>
      </w:tr>
      <w:tr w:rsidR="0062475E" w:rsidRPr="00211D75" w14:paraId="6100B8C9" w14:textId="77777777" w:rsidTr="001A1097">
        <w:tc>
          <w:tcPr>
            <w:tcW w:w="919" w:type="dxa"/>
          </w:tcPr>
          <w:p w14:paraId="42EBBE11" w14:textId="77777777" w:rsidR="0062475E" w:rsidRPr="00211D75" w:rsidRDefault="0062475E" w:rsidP="001A1097">
            <w:pPr>
              <w:pStyle w:val="Geenafstand"/>
              <w:rPr>
                <w:color w:val="002060"/>
              </w:rPr>
            </w:pPr>
            <w:r w:rsidRPr="00211D75">
              <w:rPr>
                <w:color w:val="002060"/>
              </w:rPr>
              <w:t>p</w:t>
            </w:r>
          </w:p>
        </w:tc>
        <w:tc>
          <w:tcPr>
            <w:tcW w:w="6306" w:type="dxa"/>
          </w:tcPr>
          <w:p w14:paraId="68E75DC7" w14:textId="77777777" w:rsidR="0062475E" w:rsidRPr="00211D75" w:rsidRDefault="0062475E" w:rsidP="001A1097">
            <w:pPr>
              <w:pStyle w:val="Geenafstand"/>
              <w:rPr>
                <w:color w:val="002060"/>
                <w:lang w:val="en-US"/>
              </w:rPr>
            </w:pPr>
            <w:r w:rsidRPr="00211D75">
              <w:rPr>
                <w:color w:val="002060"/>
                <w:lang w:val="en-US"/>
              </w:rPr>
              <w:t>Description of the impact of uncertainties on the accuracy of the GHG emissions and removals data per category</w:t>
            </w:r>
          </w:p>
        </w:tc>
        <w:tc>
          <w:tcPr>
            <w:tcW w:w="1842" w:type="dxa"/>
          </w:tcPr>
          <w:p w14:paraId="0F057FB3" w14:textId="77777777" w:rsidR="0062475E" w:rsidRPr="00211D75" w:rsidRDefault="0062475E" w:rsidP="001A1097">
            <w:pPr>
              <w:pStyle w:val="Geenafstand"/>
              <w:rPr>
                <w:color w:val="002060"/>
              </w:rPr>
            </w:pPr>
            <w:r w:rsidRPr="00211D75">
              <w:rPr>
                <w:color w:val="002060"/>
              </w:rPr>
              <w:t>9</w:t>
            </w:r>
          </w:p>
        </w:tc>
      </w:tr>
      <w:tr w:rsidR="0062475E" w:rsidRPr="00211D75" w14:paraId="66E01728" w14:textId="77777777" w:rsidTr="001A1097">
        <w:trPr>
          <w:trHeight w:val="356"/>
        </w:trPr>
        <w:tc>
          <w:tcPr>
            <w:tcW w:w="919" w:type="dxa"/>
          </w:tcPr>
          <w:p w14:paraId="73BDF126" w14:textId="77777777" w:rsidR="0062475E" w:rsidRPr="00211D75" w:rsidRDefault="0062475E" w:rsidP="001A1097">
            <w:pPr>
              <w:pStyle w:val="Geenafstand"/>
              <w:rPr>
                <w:color w:val="002060"/>
              </w:rPr>
            </w:pPr>
            <w:r w:rsidRPr="00211D75">
              <w:rPr>
                <w:color w:val="002060"/>
              </w:rPr>
              <w:t>q</w:t>
            </w:r>
          </w:p>
        </w:tc>
        <w:tc>
          <w:tcPr>
            <w:tcW w:w="6306" w:type="dxa"/>
          </w:tcPr>
          <w:p w14:paraId="58D941DA" w14:textId="77777777" w:rsidR="0062475E" w:rsidRPr="00211D75" w:rsidRDefault="0062475E" w:rsidP="001A1097">
            <w:pPr>
              <w:pStyle w:val="Geenafstand"/>
              <w:rPr>
                <w:color w:val="002060"/>
                <w:lang w:val="en-US"/>
              </w:rPr>
            </w:pPr>
            <w:r w:rsidRPr="00211D75">
              <w:rPr>
                <w:color w:val="002060"/>
                <w:lang w:val="en-US"/>
              </w:rPr>
              <w:t>Uncertainty assessment description and results</w:t>
            </w:r>
          </w:p>
        </w:tc>
        <w:tc>
          <w:tcPr>
            <w:tcW w:w="1842" w:type="dxa"/>
          </w:tcPr>
          <w:p w14:paraId="21C03C90" w14:textId="77777777" w:rsidR="0062475E" w:rsidRPr="00211D75" w:rsidRDefault="0062475E" w:rsidP="001A1097">
            <w:pPr>
              <w:pStyle w:val="Geenafstand"/>
              <w:rPr>
                <w:color w:val="002060"/>
              </w:rPr>
            </w:pPr>
            <w:r w:rsidRPr="00211D75">
              <w:rPr>
                <w:color w:val="002060"/>
              </w:rPr>
              <w:t>9</w:t>
            </w:r>
          </w:p>
        </w:tc>
      </w:tr>
      <w:tr w:rsidR="0062475E" w:rsidRPr="00211D75" w14:paraId="3DC09838" w14:textId="77777777" w:rsidTr="001A1097">
        <w:trPr>
          <w:trHeight w:val="77"/>
        </w:trPr>
        <w:tc>
          <w:tcPr>
            <w:tcW w:w="919" w:type="dxa"/>
          </w:tcPr>
          <w:p w14:paraId="3DE5583C" w14:textId="77777777" w:rsidR="0062475E" w:rsidRPr="00211D75" w:rsidRDefault="0062475E" w:rsidP="001A1097">
            <w:pPr>
              <w:pStyle w:val="Geenafstand"/>
              <w:rPr>
                <w:color w:val="002060"/>
              </w:rPr>
            </w:pPr>
            <w:r w:rsidRPr="00211D75">
              <w:rPr>
                <w:color w:val="002060"/>
              </w:rPr>
              <w:t>r</w:t>
            </w:r>
          </w:p>
        </w:tc>
        <w:tc>
          <w:tcPr>
            <w:tcW w:w="6306" w:type="dxa"/>
          </w:tcPr>
          <w:p w14:paraId="2276D58F" w14:textId="77777777" w:rsidR="0062475E" w:rsidRPr="00211D75" w:rsidRDefault="0062475E" w:rsidP="001A1097">
            <w:pPr>
              <w:pStyle w:val="Geenafstand"/>
              <w:rPr>
                <w:color w:val="002060"/>
                <w:lang w:val="en-US"/>
              </w:rPr>
            </w:pPr>
            <w:r w:rsidRPr="00211D75">
              <w:rPr>
                <w:color w:val="002060"/>
                <w:lang w:val="en-US"/>
              </w:rPr>
              <w:t>A statement that the GHG report has been prepared in accordance with ISO 14064-1:2018</w:t>
            </w:r>
          </w:p>
        </w:tc>
        <w:tc>
          <w:tcPr>
            <w:tcW w:w="1842" w:type="dxa"/>
          </w:tcPr>
          <w:p w14:paraId="43EB87AC" w14:textId="77777777" w:rsidR="0062475E" w:rsidRPr="00211D75" w:rsidRDefault="0062475E" w:rsidP="001A1097">
            <w:pPr>
              <w:pStyle w:val="Geenafstand"/>
              <w:rPr>
                <w:color w:val="002060"/>
              </w:rPr>
            </w:pPr>
            <w:r w:rsidRPr="00211D75">
              <w:rPr>
                <w:color w:val="002060"/>
              </w:rPr>
              <w:t>10</w:t>
            </w:r>
          </w:p>
        </w:tc>
      </w:tr>
      <w:tr w:rsidR="0062475E" w:rsidRPr="00211D75" w14:paraId="51380B5D" w14:textId="77777777" w:rsidTr="001A1097">
        <w:trPr>
          <w:trHeight w:val="77"/>
        </w:trPr>
        <w:tc>
          <w:tcPr>
            <w:tcW w:w="919" w:type="dxa"/>
          </w:tcPr>
          <w:p w14:paraId="209C61CE" w14:textId="77777777" w:rsidR="0062475E" w:rsidRPr="00211D75" w:rsidRDefault="0062475E" w:rsidP="001A1097">
            <w:pPr>
              <w:pStyle w:val="Geenafstand"/>
              <w:rPr>
                <w:color w:val="002060"/>
              </w:rPr>
            </w:pPr>
            <w:r w:rsidRPr="00211D75">
              <w:rPr>
                <w:color w:val="002060"/>
              </w:rPr>
              <w:t>s</w:t>
            </w:r>
          </w:p>
        </w:tc>
        <w:tc>
          <w:tcPr>
            <w:tcW w:w="6306" w:type="dxa"/>
          </w:tcPr>
          <w:p w14:paraId="2A60DDED" w14:textId="77777777" w:rsidR="0062475E" w:rsidRPr="00211D75" w:rsidRDefault="0062475E" w:rsidP="001A1097">
            <w:pPr>
              <w:pStyle w:val="Geenafstand"/>
              <w:rPr>
                <w:color w:val="002060"/>
                <w:lang w:val="en-US"/>
              </w:rPr>
            </w:pPr>
            <w:r w:rsidRPr="00211D75">
              <w:rPr>
                <w:color w:val="002060"/>
                <w:lang w:val="en-US"/>
              </w:rPr>
              <w:t>A disclosure describing whether the GHG inventory, report or statement has been verified, including the type of verification and the level of assurance achieved</w:t>
            </w:r>
          </w:p>
        </w:tc>
        <w:tc>
          <w:tcPr>
            <w:tcW w:w="1842" w:type="dxa"/>
          </w:tcPr>
          <w:p w14:paraId="612E8884" w14:textId="77777777" w:rsidR="0062475E" w:rsidRPr="00211D75" w:rsidRDefault="0062475E" w:rsidP="001A1097">
            <w:pPr>
              <w:pStyle w:val="Geenafstand"/>
              <w:rPr>
                <w:color w:val="002060"/>
              </w:rPr>
            </w:pPr>
            <w:r w:rsidRPr="00211D75">
              <w:rPr>
                <w:color w:val="002060"/>
              </w:rPr>
              <w:t>6</w:t>
            </w:r>
          </w:p>
        </w:tc>
      </w:tr>
      <w:tr w:rsidR="0062475E" w:rsidRPr="00211D75" w14:paraId="2D1C64EC" w14:textId="77777777" w:rsidTr="001A1097">
        <w:trPr>
          <w:trHeight w:val="77"/>
        </w:trPr>
        <w:tc>
          <w:tcPr>
            <w:tcW w:w="919" w:type="dxa"/>
          </w:tcPr>
          <w:p w14:paraId="6E18DFB3" w14:textId="77777777" w:rsidR="0062475E" w:rsidRPr="00211D75" w:rsidRDefault="0062475E" w:rsidP="001A1097">
            <w:pPr>
              <w:pStyle w:val="Geenafstand"/>
              <w:rPr>
                <w:color w:val="002060"/>
              </w:rPr>
            </w:pPr>
            <w:r w:rsidRPr="00211D75">
              <w:rPr>
                <w:color w:val="002060"/>
              </w:rPr>
              <w:t>t</w:t>
            </w:r>
          </w:p>
        </w:tc>
        <w:tc>
          <w:tcPr>
            <w:tcW w:w="6306" w:type="dxa"/>
          </w:tcPr>
          <w:p w14:paraId="4B4ACBF7" w14:textId="77777777" w:rsidR="0062475E" w:rsidRPr="00211D75" w:rsidRDefault="0062475E" w:rsidP="001A1097">
            <w:pPr>
              <w:pStyle w:val="Geenafstand"/>
              <w:rPr>
                <w:color w:val="002060"/>
                <w:lang w:val="en-US"/>
              </w:rPr>
            </w:pPr>
            <w:r w:rsidRPr="00211D75">
              <w:rPr>
                <w:color w:val="002060"/>
                <w:lang w:val="en-US"/>
              </w:rPr>
              <w:t>The GWP values used in the calculation, as well as their source. If the GWP values are not taken from the latest IPCC report, include the emission factors or the database reference used in the calculation, as well as their source.</w:t>
            </w:r>
          </w:p>
        </w:tc>
        <w:tc>
          <w:tcPr>
            <w:tcW w:w="1842" w:type="dxa"/>
          </w:tcPr>
          <w:p w14:paraId="0F7F98FA" w14:textId="77777777" w:rsidR="0062475E" w:rsidRPr="00211D75" w:rsidRDefault="0062475E" w:rsidP="001A1097">
            <w:pPr>
              <w:pStyle w:val="Geenafstand"/>
              <w:rPr>
                <w:color w:val="002060"/>
              </w:rPr>
            </w:pPr>
            <w:r w:rsidRPr="00211D75">
              <w:rPr>
                <w:color w:val="002060"/>
              </w:rPr>
              <w:t>8</w:t>
            </w:r>
          </w:p>
        </w:tc>
      </w:tr>
    </w:tbl>
    <w:p w14:paraId="35586AC1" w14:textId="77777777" w:rsidR="0062475E" w:rsidRPr="00211D75" w:rsidRDefault="0062475E" w:rsidP="0062475E">
      <w:pPr>
        <w:pStyle w:val="Geenafstand"/>
        <w:rPr>
          <w:color w:val="002060"/>
        </w:rPr>
      </w:pPr>
    </w:p>
    <w:p w14:paraId="1C0450B9" w14:textId="77777777" w:rsidR="0062475E" w:rsidRDefault="0062475E" w:rsidP="0062475E"/>
    <w:p w14:paraId="134CEE24" w14:textId="77777777" w:rsidR="0062475E" w:rsidRDefault="0062475E"/>
    <w:sectPr w:rsidR="0062475E" w:rsidSect="0062475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66DB" w14:textId="77777777" w:rsidR="005232EE" w:rsidRDefault="005232EE" w:rsidP="0062475E">
      <w:pPr>
        <w:spacing w:after="0" w:line="240" w:lineRule="auto"/>
      </w:pPr>
      <w:r>
        <w:separator/>
      </w:r>
    </w:p>
  </w:endnote>
  <w:endnote w:type="continuationSeparator" w:id="0">
    <w:p w14:paraId="06A1AE79" w14:textId="77777777" w:rsidR="005232EE" w:rsidRDefault="005232EE" w:rsidP="0062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29E1" w14:textId="5591A2C4" w:rsidR="0062475E" w:rsidRPr="00B72A00" w:rsidRDefault="0062475E">
    <w:pPr>
      <w:pStyle w:val="Voettekst"/>
      <w:rPr>
        <w:b/>
        <w:sz w:val="28"/>
        <w:szCs w:val="28"/>
      </w:rPr>
    </w:pPr>
    <w:r>
      <w:rPr>
        <w:b/>
        <w:sz w:val="28"/>
        <w:szCs w:val="28"/>
      </w:rPr>
      <w:t>1.0</w:t>
    </w:r>
    <w:r w:rsidRPr="00AA6E37">
      <w:rPr>
        <w:b/>
        <w:sz w:val="28"/>
        <w:szCs w:val="28"/>
      </w:rPr>
      <w:t xml:space="preserve"> Emissie inventarisrapport</w:t>
    </w:r>
    <w:r>
      <w:rPr>
        <w:b/>
        <w:sz w:val="28"/>
        <w:szCs w:val="28"/>
      </w:rPr>
      <w:tab/>
    </w:r>
    <w:r>
      <w:rPr>
        <w:b/>
        <w:sz w:val="28"/>
        <w:szCs w:val="28"/>
      </w:rPr>
      <w:tab/>
      <w:t xml:space="preserve">13-04-2026 versie 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0715" w14:textId="77777777" w:rsidR="005232EE" w:rsidRDefault="005232EE" w:rsidP="0062475E">
      <w:pPr>
        <w:spacing w:after="0" w:line="240" w:lineRule="auto"/>
      </w:pPr>
      <w:r>
        <w:separator/>
      </w:r>
    </w:p>
  </w:footnote>
  <w:footnote w:type="continuationSeparator" w:id="0">
    <w:p w14:paraId="07C09A27" w14:textId="77777777" w:rsidR="005232EE" w:rsidRDefault="005232EE" w:rsidP="00624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EB3C" w14:textId="77777777" w:rsidR="0062475E" w:rsidRDefault="0062475E">
    <w:pPr>
      <w:pStyle w:val="Koptekst"/>
    </w:pPr>
    <w:r>
      <w:rPr>
        <w:b/>
        <w:i/>
        <w:noProof/>
        <w:color w:val="FF0000"/>
        <w:sz w:val="36"/>
        <w:szCs w:val="36"/>
        <w:lang w:eastAsia="nl-NL"/>
      </w:rPr>
      <w:t>Handelsonderneming van Schaik Ingen BV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2BB2"/>
    <w:multiLevelType w:val="multilevel"/>
    <w:tmpl w:val="604A8F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165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5E"/>
    <w:rsid w:val="00006D98"/>
    <w:rsid w:val="00021396"/>
    <w:rsid w:val="0010027E"/>
    <w:rsid w:val="00243340"/>
    <w:rsid w:val="002A7995"/>
    <w:rsid w:val="00321E93"/>
    <w:rsid w:val="00332AB4"/>
    <w:rsid w:val="00332BB4"/>
    <w:rsid w:val="004506AD"/>
    <w:rsid w:val="005232EE"/>
    <w:rsid w:val="005551FE"/>
    <w:rsid w:val="005A187D"/>
    <w:rsid w:val="006028AF"/>
    <w:rsid w:val="0062475E"/>
    <w:rsid w:val="007A3B1C"/>
    <w:rsid w:val="007B1CAC"/>
    <w:rsid w:val="007F3B4E"/>
    <w:rsid w:val="008832D4"/>
    <w:rsid w:val="009A6954"/>
    <w:rsid w:val="00A565F6"/>
    <w:rsid w:val="00A7576C"/>
    <w:rsid w:val="00BA46F0"/>
    <w:rsid w:val="00BB5E13"/>
    <w:rsid w:val="00BC1CBA"/>
    <w:rsid w:val="00BD4BD7"/>
    <w:rsid w:val="00CE66AF"/>
    <w:rsid w:val="00D01E7B"/>
    <w:rsid w:val="00D62212"/>
    <w:rsid w:val="00D6425D"/>
    <w:rsid w:val="00DA241D"/>
    <w:rsid w:val="00DC4563"/>
    <w:rsid w:val="00E47D32"/>
    <w:rsid w:val="00ED0528"/>
    <w:rsid w:val="00ED0BD3"/>
    <w:rsid w:val="00ED0F41"/>
    <w:rsid w:val="00FB030E"/>
    <w:rsid w:val="00FC0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1A7A"/>
  <w15:chartTrackingRefBased/>
  <w15:docId w15:val="{7F9CA327-1630-4B47-9C43-14805EFA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475E"/>
    <w:pPr>
      <w:spacing w:line="259" w:lineRule="auto"/>
    </w:pPr>
    <w:rPr>
      <w:rFonts w:ascii="Calibri" w:hAnsi="Calibri"/>
      <w:color w:val="0B3B60"/>
      <w:kern w:val="0"/>
      <w:sz w:val="22"/>
      <w:szCs w:val="22"/>
      <w14:ligatures w14:val="none"/>
    </w:rPr>
  </w:style>
  <w:style w:type="paragraph" w:styleId="Kop1">
    <w:name w:val="heading 1"/>
    <w:basedOn w:val="Standaard"/>
    <w:next w:val="Standaard"/>
    <w:link w:val="Kop1Char"/>
    <w:uiPriority w:val="9"/>
    <w:qFormat/>
    <w:rsid w:val="00624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4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47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47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47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47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47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47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47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47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47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47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47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47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47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47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47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475E"/>
    <w:rPr>
      <w:rFonts w:eastAsiaTheme="majorEastAsia" w:cstheme="majorBidi"/>
      <w:color w:val="272727" w:themeColor="text1" w:themeTint="D8"/>
    </w:rPr>
  </w:style>
  <w:style w:type="paragraph" w:styleId="Titel">
    <w:name w:val="Title"/>
    <w:basedOn w:val="Standaard"/>
    <w:next w:val="Standaard"/>
    <w:link w:val="TitelChar"/>
    <w:uiPriority w:val="10"/>
    <w:qFormat/>
    <w:rsid w:val="00624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47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47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47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47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475E"/>
    <w:rPr>
      <w:i/>
      <w:iCs/>
      <w:color w:val="404040" w:themeColor="text1" w:themeTint="BF"/>
    </w:rPr>
  </w:style>
  <w:style w:type="paragraph" w:styleId="Lijstalinea">
    <w:name w:val="List Paragraph"/>
    <w:basedOn w:val="Standaard"/>
    <w:uiPriority w:val="34"/>
    <w:qFormat/>
    <w:rsid w:val="0062475E"/>
    <w:pPr>
      <w:ind w:left="720"/>
      <w:contextualSpacing/>
    </w:pPr>
  </w:style>
  <w:style w:type="character" w:styleId="Intensievebenadrukking">
    <w:name w:val="Intense Emphasis"/>
    <w:basedOn w:val="Standaardalinea-lettertype"/>
    <w:uiPriority w:val="21"/>
    <w:qFormat/>
    <w:rsid w:val="0062475E"/>
    <w:rPr>
      <w:i/>
      <w:iCs/>
      <w:color w:val="0F4761" w:themeColor="accent1" w:themeShade="BF"/>
    </w:rPr>
  </w:style>
  <w:style w:type="paragraph" w:styleId="Duidelijkcitaat">
    <w:name w:val="Intense Quote"/>
    <w:basedOn w:val="Standaard"/>
    <w:next w:val="Standaard"/>
    <w:link w:val="DuidelijkcitaatChar"/>
    <w:uiPriority w:val="30"/>
    <w:qFormat/>
    <w:rsid w:val="00624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475E"/>
    <w:rPr>
      <w:i/>
      <w:iCs/>
      <w:color w:val="0F4761" w:themeColor="accent1" w:themeShade="BF"/>
    </w:rPr>
  </w:style>
  <w:style w:type="character" w:styleId="Intensieveverwijzing">
    <w:name w:val="Intense Reference"/>
    <w:basedOn w:val="Standaardalinea-lettertype"/>
    <w:uiPriority w:val="32"/>
    <w:qFormat/>
    <w:rsid w:val="0062475E"/>
    <w:rPr>
      <w:b/>
      <w:bCs/>
      <w:smallCaps/>
      <w:color w:val="0F4761" w:themeColor="accent1" w:themeShade="BF"/>
      <w:spacing w:val="5"/>
    </w:rPr>
  </w:style>
  <w:style w:type="paragraph" w:styleId="Geenafstand">
    <w:name w:val="No Spacing"/>
    <w:uiPriority w:val="1"/>
    <w:qFormat/>
    <w:rsid w:val="0062475E"/>
    <w:pPr>
      <w:overflowPunct w:val="0"/>
      <w:autoSpaceDE w:val="0"/>
      <w:autoSpaceDN w:val="0"/>
      <w:adjustRightInd w:val="0"/>
      <w:spacing w:after="0" w:line="240" w:lineRule="auto"/>
    </w:pPr>
    <w:rPr>
      <w:rFonts w:ascii="Calibri" w:eastAsia="Times New Roman" w:hAnsi="Calibri" w:cs="Times New Roman"/>
      <w:color w:val="0B3B60"/>
      <w:kern w:val="0"/>
      <w:sz w:val="22"/>
      <w:szCs w:val="20"/>
      <w:lang w:eastAsia="nl-NL"/>
      <w14:ligatures w14:val="none"/>
    </w:rPr>
  </w:style>
  <w:style w:type="paragraph" w:styleId="Koptekst">
    <w:name w:val="header"/>
    <w:basedOn w:val="Standaard"/>
    <w:link w:val="KoptekstChar"/>
    <w:uiPriority w:val="99"/>
    <w:unhideWhenUsed/>
    <w:rsid w:val="00624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475E"/>
    <w:rPr>
      <w:rFonts w:ascii="Calibri" w:hAnsi="Calibri"/>
      <w:color w:val="0B3B60"/>
      <w:kern w:val="0"/>
      <w:sz w:val="22"/>
      <w:szCs w:val="22"/>
      <w14:ligatures w14:val="none"/>
    </w:rPr>
  </w:style>
  <w:style w:type="paragraph" w:styleId="Voettekst">
    <w:name w:val="footer"/>
    <w:basedOn w:val="Standaard"/>
    <w:link w:val="VoettekstChar"/>
    <w:uiPriority w:val="99"/>
    <w:unhideWhenUsed/>
    <w:rsid w:val="006247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475E"/>
    <w:rPr>
      <w:rFonts w:ascii="Calibri" w:hAnsi="Calibri"/>
      <w:color w:val="0B3B60"/>
      <w:kern w:val="0"/>
      <w:sz w:val="22"/>
      <w:szCs w:val="22"/>
      <w14:ligatures w14:val="none"/>
    </w:rPr>
  </w:style>
  <w:style w:type="table" w:styleId="Tabelraster">
    <w:name w:val="Table Grid"/>
    <w:basedOn w:val="Standaardtabel"/>
    <w:uiPriority w:val="39"/>
    <w:rsid w:val="006247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2475E"/>
    <w:rPr>
      <w:color w:val="467886" w:themeColor="hyperlink"/>
      <w:u w:val="single"/>
    </w:rPr>
  </w:style>
  <w:style w:type="paragraph" w:styleId="Kopvaninhoudsopgave">
    <w:name w:val="TOC Heading"/>
    <w:basedOn w:val="Kop1"/>
    <w:next w:val="Standaard"/>
    <w:uiPriority w:val="39"/>
    <w:unhideWhenUsed/>
    <w:qFormat/>
    <w:rsid w:val="0062475E"/>
    <w:pPr>
      <w:spacing w:before="240" w:after="0"/>
      <w:outlineLvl w:val="9"/>
    </w:pPr>
    <w:rPr>
      <w:sz w:val="32"/>
      <w:szCs w:val="32"/>
      <w:lang w:eastAsia="nl-NL"/>
    </w:rPr>
  </w:style>
  <w:style w:type="paragraph" w:styleId="Inhopg1">
    <w:name w:val="toc 1"/>
    <w:basedOn w:val="Standaard"/>
    <w:next w:val="Standaard"/>
    <w:autoRedefine/>
    <w:uiPriority w:val="39"/>
    <w:unhideWhenUsed/>
    <w:rsid w:val="0062475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2emissiefactoren.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2emissiefactor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2emissiefactoren.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9D922E43EA04D8BEDB99739B6C1A3" ma:contentTypeVersion="3" ma:contentTypeDescription="Een nieuw document maken." ma:contentTypeScope="" ma:versionID="81288aab8ba5d2dcd7680b3bd8a1d41d">
  <xsd:schema xmlns:xsd="http://www.w3.org/2001/XMLSchema" xmlns:xs="http://www.w3.org/2001/XMLSchema" xmlns:p="http://schemas.microsoft.com/office/2006/metadata/properties" xmlns:ns2="2675bcc0-3f71-4569-8b18-9371e4a90a2a" targetNamespace="http://schemas.microsoft.com/office/2006/metadata/properties" ma:root="true" ma:fieldsID="13696ffe18272a1c75ceec7aaf91a128" ns2:_="">
    <xsd:import namespace="2675bcc0-3f71-4569-8b18-9371e4a90a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5bcc0-3f71-4569-8b18-9371e4a90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02578-4940-46F3-AFA0-567210D61B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289296-DD03-4314-8986-0D0673BF3023}">
  <ds:schemaRefs>
    <ds:schemaRef ds:uri="http://schemas.microsoft.com/sharepoint/v3/contenttype/forms"/>
  </ds:schemaRefs>
</ds:datastoreItem>
</file>

<file path=customXml/itemProps3.xml><?xml version="1.0" encoding="utf-8"?>
<ds:datastoreItem xmlns:ds="http://schemas.openxmlformats.org/officeDocument/2006/customXml" ds:itemID="{415E7D5E-D393-4839-A156-614707075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5bcc0-3f71-4569-8b18-9371e4a90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10514</Characters>
  <Application>Microsoft Office Word</Application>
  <DocSecurity>0</DocSecurity>
  <Lines>87</Lines>
  <Paragraphs>24</Paragraphs>
  <ScaleCrop>false</ScaleCrop>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Sarienke Blaauw</dc:creator>
  <cp:keywords/>
  <dc:description/>
  <cp:lastModifiedBy>Sarienke Blaauw</cp:lastModifiedBy>
  <cp:revision>28</cp:revision>
  <dcterms:created xsi:type="dcterms:W3CDTF">2026-06-22T08:56:00Z</dcterms:created>
  <dcterms:modified xsi:type="dcterms:W3CDTF">2026-06-29T14:05:00Z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0x010100ACF9D922E43EA04D8BEDB99739B6C1A3</vt:lpwstr>
  </property>
</Properties>
</file>